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2792" w14:textId="77777777" w:rsidR="00D42427" w:rsidRPr="00D42427" w:rsidRDefault="00D42427" w:rsidP="00D42427">
      <w:pPr>
        <w:pStyle w:val="Heading1"/>
        <w:rPr>
          <w:rFonts w:ascii="Century Gothic" w:hAnsi="Century Gothic"/>
          <w:b/>
          <w:color w:val="00B050"/>
          <w:sz w:val="24"/>
          <w:szCs w:val="24"/>
        </w:rPr>
      </w:pPr>
      <w:r w:rsidRPr="00D42427">
        <w:rPr>
          <w:rFonts w:ascii="Century Gothic" w:hAnsi="Century Gothic"/>
          <w:b/>
          <w:color w:val="00B050"/>
          <w:sz w:val="24"/>
          <w:szCs w:val="14"/>
        </w:rPr>
        <w:t>Co-production</w:t>
      </w:r>
    </w:p>
    <w:p w14:paraId="1BB0B4E1" w14:textId="77777777" w:rsidR="00D42427" w:rsidRPr="003B382F" w:rsidRDefault="00D42427" w:rsidP="00D42427">
      <w:pPr>
        <w:pStyle w:val="NoSpacing"/>
        <w:rPr>
          <w:rFonts w:ascii="Century Gothic" w:hAnsi="Century Gothic"/>
          <w:b/>
          <w:bCs/>
        </w:rPr>
      </w:pPr>
      <w:r w:rsidRPr="003B382F">
        <w:rPr>
          <w:rFonts w:ascii="Century Gothic" w:hAnsi="Century Gothic"/>
          <w:b/>
          <w:bCs/>
        </w:rPr>
        <w:t>Focus for the quarterly activities</w:t>
      </w:r>
    </w:p>
    <w:p w14:paraId="6517CEFD" w14:textId="77777777" w:rsidR="00D42427" w:rsidRPr="00A10772" w:rsidRDefault="00D42427" w:rsidP="00D42427">
      <w:r w:rsidRPr="00A10772">
        <w:t>At the Disability and Neurodiversity Partnership Board meeting on 4 March members discussed reviewing the Board’s Terms of Reference and the current Disability and Neurodiversity Partnership Board website</w:t>
      </w:r>
      <w:r>
        <w:t>. They also discussed</w:t>
      </w:r>
      <w:r w:rsidRPr="00A10772">
        <w:t xml:space="preserve"> possible alternative mechanisms for delivering information about the work of the Board and potential means for members of the community to express their views and experiences and contribute to the plans for Staffordshire.</w:t>
      </w:r>
    </w:p>
    <w:p w14:paraId="5D6CA30A" w14:textId="77777777" w:rsidR="00D42427" w:rsidRDefault="00D42427" w:rsidP="00D42427">
      <w:pPr>
        <w:rPr>
          <w:rFonts w:cs="Calibri"/>
          <w:color w:val="000000" w:themeColor="text1"/>
        </w:rPr>
      </w:pPr>
      <w:r w:rsidRPr="00A10772">
        <w:t xml:space="preserve">Additionally, Asist team members were involved in gathering </w:t>
      </w:r>
      <w:r w:rsidRPr="00A10772">
        <w:rPr>
          <w:rFonts w:cs="Calibri"/>
          <w:color w:val="000000" w:themeColor="text1"/>
          <w:lang w:val="en-US"/>
        </w:rPr>
        <w:t xml:space="preserve">information on </w:t>
      </w:r>
      <w:r w:rsidRPr="00A10772">
        <w:rPr>
          <w:rFonts w:cs="Calibri"/>
          <w:color w:val="000000" w:themeColor="text1"/>
        </w:rPr>
        <w:t>Accessibility Topic 5 What is a Social Worker, Social Care Assessor/Care Act Assessor</w:t>
      </w:r>
      <w:r w:rsidRPr="00A10772">
        <w:rPr>
          <w:rFonts w:cs="Calibri"/>
          <w:color w:val="000000" w:themeColor="text1"/>
          <w:lang w:val="en-US"/>
        </w:rPr>
        <w:t xml:space="preserve">, </w:t>
      </w:r>
      <w:r w:rsidRPr="00A10772">
        <w:rPr>
          <w:rFonts w:cs="Calibri"/>
          <w:color w:val="000000" w:themeColor="text1"/>
        </w:rPr>
        <w:t>What does a Social Worker, Social Care Assessor and Care Act Assessor do? The process and outcomes are recorded in the attached document.</w:t>
      </w:r>
    </w:p>
    <w:p w14:paraId="2BB79C63" w14:textId="77777777" w:rsidR="00D42427" w:rsidRDefault="00D42427" w:rsidP="00D42427">
      <w:pPr>
        <w:pStyle w:val="NoSpacing"/>
        <w:rPr>
          <w:rFonts w:ascii="Century Gothic" w:hAnsi="Century Gothic" w:cs="Arial"/>
        </w:rPr>
      </w:pPr>
      <w:r>
        <w:rPr>
          <w:rFonts w:ascii="Century Gothic" w:hAnsi="Century Gothic" w:cs="Arial"/>
        </w:rPr>
        <w:t xml:space="preserve">Following supporting at the Staffordshire Wellbeing event, the Co-production team were able to link in with the following groups with a plan of meeting with them during April/ May ready for the next sub-group meeting and </w:t>
      </w:r>
      <w:proofErr w:type="spellStart"/>
      <w:r>
        <w:rPr>
          <w:rFonts w:ascii="Century Gothic" w:hAnsi="Century Gothic" w:cs="Arial"/>
        </w:rPr>
        <w:t>DPB</w:t>
      </w:r>
      <w:proofErr w:type="spellEnd"/>
      <w:r>
        <w:rPr>
          <w:rFonts w:ascii="Century Gothic" w:hAnsi="Century Gothic" w:cs="Arial"/>
        </w:rPr>
        <w:t>.</w:t>
      </w:r>
    </w:p>
    <w:p w14:paraId="3DF74F11" w14:textId="77777777" w:rsidR="00D42427" w:rsidRDefault="00D42427" w:rsidP="00D42427">
      <w:pPr>
        <w:pStyle w:val="NoSpacing"/>
        <w:rPr>
          <w:rFonts w:ascii="Century Gothic" w:hAnsi="Century Gothic" w:cs="Arial"/>
        </w:rPr>
      </w:pPr>
    </w:p>
    <w:p w14:paraId="53A1157E" w14:textId="77777777" w:rsidR="00D42427" w:rsidRPr="00637B38" w:rsidRDefault="00D42427" w:rsidP="00D42427">
      <w:pPr>
        <w:pStyle w:val="NoSpacing"/>
        <w:numPr>
          <w:ilvl w:val="0"/>
          <w:numId w:val="2"/>
        </w:numPr>
        <w:rPr>
          <w:rFonts w:ascii="Century Gothic" w:eastAsia="Calibri" w:hAnsi="Century Gothic" w:cs="Calibri"/>
          <w:color w:val="000000" w:themeColor="text1"/>
        </w:rPr>
      </w:pPr>
      <w:r w:rsidRPr="00637B38">
        <w:rPr>
          <w:rFonts w:ascii="Century Gothic" w:hAnsi="Century Gothic" w:cs="Arial"/>
          <w:b/>
          <w:bCs/>
        </w:rPr>
        <w:t>Physical</w:t>
      </w:r>
      <w:r w:rsidRPr="00637B38">
        <w:rPr>
          <w:rFonts w:ascii="Century Gothic" w:hAnsi="Century Gothic" w:cs="Arial"/>
        </w:rPr>
        <w:t xml:space="preserve"> = Stroke group, Parkinson and headway.</w:t>
      </w:r>
    </w:p>
    <w:p w14:paraId="65C26634" w14:textId="77777777" w:rsidR="00D42427" w:rsidRPr="00637B38" w:rsidRDefault="00D42427" w:rsidP="00D42427">
      <w:pPr>
        <w:pStyle w:val="NoSpacing"/>
        <w:numPr>
          <w:ilvl w:val="0"/>
          <w:numId w:val="2"/>
        </w:numPr>
        <w:rPr>
          <w:rFonts w:ascii="Century Gothic" w:eastAsia="Calibri" w:hAnsi="Century Gothic" w:cs="Calibri"/>
          <w:color w:val="000000" w:themeColor="text1"/>
        </w:rPr>
      </w:pPr>
      <w:r w:rsidRPr="00637B38">
        <w:rPr>
          <w:rFonts w:ascii="Century Gothic" w:hAnsi="Century Gothic" w:cs="Arial"/>
          <w:b/>
          <w:bCs/>
        </w:rPr>
        <w:t>Learning Disability</w:t>
      </w:r>
      <w:r w:rsidRPr="00637B38">
        <w:rPr>
          <w:rFonts w:ascii="Century Gothic" w:hAnsi="Century Gothic" w:cs="Arial"/>
        </w:rPr>
        <w:t xml:space="preserve"> = </w:t>
      </w:r>
      <w:proofErr w:type="spellStart"/>
      <w:r w:rsidRPr="00637B38">
        <w:rPr>
          <w:rFonts w:ascii="Century Gothic" w:hAnsi="Century Gothic" w:cs="Arial"/>
        </w:rPr>
        <w:t>Rockspur</w:t>
      </w:r>
      <w:proofErr w:type="spellEnd"/>
      <w:r w:rsidRPr="00637B38">
        <w:rPr>
          <w:rFonts w:ascii="Century Gothic" w:hAnsi="Century Gothic" w:cs="Arial"/>
        </w:rPr>
        <w:t xml:space="preserve"> and Friends to Friends.</w:t>
      </w:r>
    </w:p>
    <w:p w14:paraId="6DD7B427" w14:textId="77777777" w:rsidR="00D42427" w:rsidRPr="00637B38" w:rsidRDefault="00D42427" w:rsidP="00D42427">
      <w:pPr>
        <w:pStyle w:val="NoSpacing"/>
        <w:numPr>
          <w:ilvl w:val="0"/>
          <w:numId w:val="2"/>
        </w:numPr>
        <w:rPr>
          <w:rFonts w:ascii="Century Gothic" w:eastAsia="Calibri" w:hAnsi="Century Gothic" w:cs="Calibri"/>
          <w:color w:val="000000" w:themeColor="text1"/>
        </w:rPr>
      </w:pPr>
      <w:proofErr w:type="spellStart"/>
      <w:r w:rsidRPr="00637B38">
        <w:rPr>
          <w:rFonts w:ascii="Century Gothic" w:hAnsi="Century Gothic" w:cs="Arial"/>
          <w:b/>
          <w:bCs/>
        </w:rPr>
        <w:t>CYP</w:t>
      </w:r>
      <w:proofErr w:type="spellEnd"/>
      <w:r w:rsidRPr="00637B38">
        <w:rPr>
          <w:rFonts w:ascii="Century Gothic" w:hAnsi="Century Gothic" w:cs="Arial"/>
          <w:b/>
          <w:bCs/>
        </w:rPr>
        <w:t xml:space="preserve"> </w:t>
      </w:r>
      <w:r w:rsidRPr="00637B38">
        <w:rPr>
          <w:rFonts w:ascii="Century Gothic" w:hAnsi="Century Gothic" w:cs="Arial"/>
        </w:rPr>
        <w:t>= Cauldwell Children and Chuckles based in Stone.</w:t>
      </w:r>
    </w:p>
    <w:p w14:paraId="07271F27" w14:textId="77777777" w:rsidR="00D42427" w:rsidRPr="00637B38" w:rsidRDefault="00D42427" w:rsidP="00D42427">
      <w:pPr>
        <w:pStyle w:val="NoSpacing"/>
        <w:numPr>
          <w:ilvl w:val="0"/>
          <w:numId w:val="2"/>
        </w:numPr>
        <w:rPr>
          <w:rFonts w:ascii="Century Gothic" w:eastAsia="Calibri" w:hAnsi="Century Gothic" w:cs="Calibri"/>
          <w:color w:val="000000" w:themeColor="text1"/>
        </w:rPr>
      </w:pPr>
      <w:r w:rsidRPr="00637B38">
        <w:rPr>
          <w:rFonts w:ascii="Century Gothic" w:hAnsi="Century Gothic" w:cs="Arial"/>
          <w:b/>
          <w:bCs/>
        </w:rPr>
        <w:t>Mental Health</w:t>
      </w:r>
      <w:r w:rsidRPr="00637B38">
        <w:rPr>
          <w:rFonts w:ascii="Century Gothic" w:hAnsi="Century Gothic" w:cs="Arial"/>
        </w:rPr>
        <w:t xml:space="preserve"> = Changes, Alzheimer's and Memory café.</w:t>
      </w:r>
    </w:p>
    <w:p w14:paraId="02E2CCB3" w14:textId="77777777" w:rsidR="00D42427" w:rsidRPr="00A10772" w:rsidRDefault="00D42427" w:rsidP="00D42427">
      <w:pPr>
        <w:rPr>
          <w:rFonts w:cs="Calibri"/>
        </w:rPr>
      </w:pPr>
    </w:p>
    <w:p w14:paraId="51D3A4FA" w14:textId="77777777" w:rsidR="00D42427" w:rsidRPr="003B382F" w:rsidRDefault="00D42427" w:rsidP="00D42427">
      <w:pPr>
        <w:pStyle w:val="NoSpacing"/>
        <w:rPr>
          <w:rFonts w:ascii="Century Gothic" w:hAnsi="Century Gothic"/>
          <w:b/>
          <w:bCs/>
        </w:rPr>
      </w:pPr>
      <w:r w:rsidRPr="003B382F">
        <w:rPr>
          <w:rFonts w:ascii="Century Gothic" w:hAnsi="Century Gothic"/>
          <w:b/>
          <w:bCs/>
        </w:rPr>
        <w:t>Involvement in Council Processes</w:t>
      </w:r>
    </w:p>
    <w:p w14:paraId="3F6CDC45" w14:textId="77777777" w:rsidR="00D42427" w:rsidRPr="0071305B" w:rsidRDefault="00D42427" w:rsidP="00D42427">
      <w:pPr>
        <w:rPr>
          <w:rFonts w:cs="Calibri"/>
          <w:color w:val="000000" w:themeColor="text1"/>
        </w:rPr>
      </w:pPr>
      <w:r w:rsidRPr="0071305B">
        <w:t>The Care Quality Commission (CQC) is undertaking a review of Staffordshire County Council services and A</w:t>
      </w:r>
      <w:r>
        <w:t>sist</w:t>
      </w:r>
      <w:r w:rsidRPr="0071305B">
        <w:t xml:space="preserve"> was invited to identify experts with lived experience who could contribute to the review and so 2 experts were supported by the A</w:t>
      </w:r>
      <w:r>
        <w:t>sist</w:t>
      </w:r>
      <w:r w:rsidRPr="0071305B">
        <w:t xml:space="preserve"> team at the meeting with the CQC representatives on 13 January. Between</w:t>
      </w:r>
      <w:r w:rsidRPr="0071305B">
        <w:rPr>
          <w:rFonts w:cs="Calibri"/>
          <w:color w:val="000000" w:themeColor="text1"/>
        </w:rPr>
        <w:t xml:space="preserve"> the beginning of January and the end of March 2025 the Asist Co Production team made visits to community groups across Staffordshire speaking with 36 group members. The groups visited were:</w:t>
      </w:r>
    </w:p>
    <w:p w14:paraId="4E4B1E8E" w14:textId="77777777" w:rsidR="00D42427" w:rsidRPr="0071305B" w:rsidRDefault="00D42427" w:rsidP="00D42427">
      <w:pPr>
        <w:pStyle w:val="ListParagraph"/>
        <w:numPr>
          <w:ilvl w:val="0"/>
          <w:numId w:val="1"/>
        </w:numPr>
        <w:spacing w:after="160" w:line="259" w:lineRule="auto"/>
        <w:rPr>
          <w:rFonts w:cs="Calibri"/>
          <w:color w:val="000000" w:themeColor="text1"/>
        </w:rPr>
      </w:pPr>
      <w:r w:rsidRPr="0071305B">
        <w:rPr>
          <w:rFonts w:cs="Calibri"/>
          <w:color w:val="000000" w:themeColor="text1"/>
        </w:rPr>
        <w:t>Cerebral Palsy Mid Staffordshire in Stafford (Physical disabilities, Learning disabilities and autism)</w:t>
      </w:r>
    </w:p>
    <w:p w14:paraId="32DFFF1C" w14:textId="77777777" w:rsidR="00D42427" w:rsidRPr="0071305B" w:rsidRDefault="00D42427" w:rsidP="00D42427">
      <w:pPr>
        <w:pStyle w:val="ListParagraph"/>
        <w:numPr>
          <w:ilvl w:val="0"/>
          <w:numId w:val="1"/>
        </w:numPr>
        <w:spacing w:after="160" w:line="259" w:lineRule="auto"/>
        <w:rPr>
          <w:rFonts w:cs="Calibri"/>
          <w:color w:val="000000" w:themeColor="text1"/>
        </w:rPr>
      </w:pPr>
      <w:r w:rsidRPr="0071305B">
        <w:rPr>
          <w:rFonts w:cs="Calibri"/>
          <w:color w:val="000000" w:themeColor="text1"/>
        </w:rPr>
        <w:t>Disability Solutions in Newcastle under Lyme (Physical disabilities)</w:t>
      </w:r>
    </w:p>
    <w:p w14:paraId="564AA0A0" w14:textId="77777777" w:rsidR="00D42427" w:rsidRPr="00FE68A7" w:rsidRDefault="00D42427" w:rsidP="00D42427">
      <w:pPr>
        <w:pStyle w:val="ListParagraph"/>
        <w:numPr>
          <w:ilvl w:val="0"/>
          <w:numId w:val="1"/>
        </w:numPr>
        <w:spacing w:after="160" w:line="259" w:lineRule="auto"/>
        <w:rPr>
          <w:rFonts w:cs="Calibri"/>
          <w:color w:val="000000" w:themeColor="text1"/>
          <w:lang w:val="it-IT"/>
        </w:rPr>
      </w:pPr>
      <w:r w:rsidRPr="00FE68A7">
        <w:rPr>
          <w:rFonts w:cs="Calibri"/>
          <w:color w:val="000000" w:themeColor="text1"/>
          <w:lang w:val="it-IT"/>
        </w:rPr>
        <w:t>Dementia Voice in Fenton (Dementia)</w:t>
      </w:r>
    </w:p>
    <w:p w14:paraId="0800F099" w14:textId="77777777" w:rsidR="00D42427" w:rsidRPr="00FE68A7" w:rsidRDefault="00D42427" w:rsidP="00D42427">
      <w:pPr>
        <w:pStyle w:val="NoSpacing"/>
        <w:rPr>
          <w:rFonts w:ascii="Century Gothic" w:hAnsi="Century Gothic"/>
          <w:noProof/>
          <w:lang w:val="it-IT"/>
        </w:rPr>
      </w:pPr>
    </w:p>
    <w:tbl>
      <w:tblPr>
        <w:tblW w:w="13740" w:type="dxa"/>
        <w:tblCellMar>
          <w:left w:w="0" w:type="dxa"/>
          <w:right w:w="0" w:type="dxa"/>
        </w:tblCellMar>
        <w:tblLook w:val="04A0" w:firstRow="1" w:lastRow="0" w:firstColumn="1" w:lastColumn="0" w:noHBand="0" w:noVBand="1"/>
      </w:tblPr>
      <w:tblGrid>
        <w:gridCol w:w="7366"/>
        <w:gridCol w:w="6374"/>
      </w:tblGrid>
      <w:tr w:rsidR="00D42427" w14:paraId="50F5DE4D" w14:textId="77777777" w:rsidTr="001B4101">
        <w:tc>
          <w:tcPr>
            <w:tcW w:w="7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AC239" w14:textId="77777777" w:rsidR="00D42427" w:rsidRPr="00656C07" w:rsidRDefault="00D42427" w:rsidP="001B4101">
            <w:pPr>
              <w:rPr>
                <w:b/>
                <w:bCs/>
              </w:rPr>
            </w:pPr>
            <w:r w:rsidRPr="00656C07">
              <w:rPr>
                <w:b/>
                <w:bCs/>
              </w:rPr>
              <w:t xml:space="preserve">User Sub-groups (to </w:t>
            </w:r>
            <w:proofErr w:type="spellStart"/>
            <w:r w:rsidRPr="00656C07">
              <w:rPr>
                <w:b/>
                <w:bCs/>
              </w:rPr>
              <w:t>DPB</w:t>
            </w:r>
            <w:proofErr w:type="spellEnd"/>
            <w:r w:rsidRPr="00656C07">
              <w:rPr>
                <w:b/>
                <w:bCs/>
              </w:rPr>
              <w:t>)</w:t>
            </w:r>
          </w:p>
        </w:tc>
        <w:tc>
          <w:tcPr>
            <w:tcW w:w="6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99D7BA" w14:textId="77777777" w:rsidR="00D42427" w:rsidRPr="000942AF" w:rsidRDefault="00D42427" w:rsidP="001B4101"/>
        </w:tc>
      </w:tr>
      <w:tr w:rsidR="00D42427" w14:paraId="4DAA2AE3"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00C0" w14:textId="77777777" w:rsidR="00D42427" w:rsidRPr="00656C07" w:rsidRDefault="00D42427" w:rsidP="001B4101">
            <w:r w:rsidRPr="00656C07">
              <w:t>Category of need of attendees (as a % of those attending)</w:t>
            </w:r>
          </w:p>
        </w:tc>
        <w:tc>
          <w:tcPr>
            <w:tcW w:w="6374" w:type="dxa"/>
            <w:tcBorders>
              <w:top w:val="nil"/>
              <w:left w:val="nil"/>
              <w:bottom w:val="single" w:sz="8" w:space="0" w:color="auto"/>
              <w:right w:val="single" w:sz="8" w:space="0" w:color="auto"/>
            </w:tcBorders>
            <w:tcMar>
              <w:top w:w="0" w:type="dxa"/>
              <w:left w:w="108" w:type="dxa"/>
              <w:bottom w:w="0" w:type="dxa"/>
              <w:right w:w="108" w:type="dxa"/>
            </w:tcMar>
          </w:tcPr>
          <w:p w14:paraId="484F71E2" w14:textId="77777777" w:rsidR="00D42427" w:rsidRPr="00BD7198" w:rsidRDefault="00D42427" w:rsidP="001B4101">
            <w:pPr>
              <w:pStyle w:val="NoSpacing"/>
              <w:rPr>
                <w:rFonts w:ascii="Century Gothic" w:hAnsi="Century Gothic"/>
              </w:rPr>
            </w:pPr>
            <w:r w:rsidRPr="00BD7198">
              <w:rPr>
                <w:rFonts w:ascii="Century Gothic" w:hAnsi="Century Gothic"/>
              </w:rPr>
              <w:t>Physical disabilities 27%</w:t>
            </w:r>
          </w:p>
          <w:p w14:paraId="2AD0C46B" w14:textId="77777777" w:rsidR="00D42427" w:rsidRPr="00BD7198" w:rsidRDefault="00D42427" w:rsidP="001B4101">
            <w:pPr>
              <w:pStyle w:val="NoSpacing"/>
              <w:rPr>
                <w:rFonts w:ascii="Century Gothic" w:hAnsi="Century Gothic"/>
              </w:rPr>
            </w:pPr>
            <w:r w:rsidRPr="00BD7198">
              <w:rPr>
                <w:rFonts w:ascii="Century Gothic" w:hAnsi="Century Gothic"/>
              </w:rPr>
              <w:t>Autism 16%</w:t>
            </w:r>
          </w:p>
          <w:p w14:paraId="260C0421" w14:textId="77777777" w:rsidR="00D42427" w:rsidRPr="00BD7198" w:rsidRDefault="00D42427" w:rsidP="001B4101">
            <w:pPr>
              <w:pStyle w:val="NoSpacing"/>
              <w:rPr>
                <w:rFonts w:ascii="Century Gothic" w:hAnsi="Century Gothic"/>
              </w:rPr>
            </w:pPr>
            <w:r w:rsidRPr="00BD7198">
              <w:rPr>
                <w:rFonts w:ascii="Century Gothic" w:hAnsi="Century Gothic"/>
              </w:rPr>
              <w:t>Dementia 28%</w:t>
            </w:r>
          </w:p>
          <w:p w14:paraId="360735DD" w14:textId="77777777" w:rsidR="00D42427" w:rsidRPr="00BD7198" w:rsidRDefault="00D42427" w:rsidP="001B4101">
            <w:pPr>
              <w:pStyle w:val="NoSpacing"/>
              <w:rPr>
                <w:sz w:val="24"/>
                <w:szCs w:val="24"/>
              </w:rPr>
            </w:pPr>
            <w:r w:rsidRPr="00BD7198">
              <w:rPr>
                <w:rFonts w:ascii="Century Gothic" w:hAnsi="Century Gothic"/>
              </w:rPr>
              <w:t>Learning difficulties 29%</w:t>
            </w:r>
          </w:p>
        </w:tc>
      </w:tr>
      <w:tr w:rsidR="00D42427" w14:paraId="79DDD2B2"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C2ADF" w14:textId="77777777" w:rsidR="00D42427" w:rsidRPr="00656C07" w:rsidRDefault="00D42427" w:rsidP="001B4101">
            <w:r w:rsidRPr="00656C07">
              <w:t>Topics of interest discussed</w:t>
            </w:r>
          </w:p>
        </w:tc>
        <w:tc>
          <w:tcPr>
            <w:tcW w:w="6374" w:type="dxa"/>
            <w:tcBorders>
              <w:top w:val="nil"/>
              <w:left w:val="nil"/>
              <w:bottom w:val="single" w:sz="8" w:space="0" w:color="auto"/>
              <w:right w:val="single" w:sz="8" w:space="0" w:color="auto"/>
            </w:tcBorders>
            <w:tcMar>
              <w:top w:w="0" w:type="dxa"/>
              <w:left w:w="108" w:type="dxa"/>
              <w:bottom w:w="0" w:type="dxa"/>
              <w:right w:w="108" w:type="dxa"/>
            </w:tcMar>
          </w:tcPr>
          <w:p w14:paraId="63456FC5" w14:textId="77777777" w:rsidR="00D42427" w:rsidRPr="00907987" w:rsidRDefault="00D42427" w:rsidP="001B4101">
            <w:pPr>
              <w:pStyle w:val="NoSpacing"/>
              <w:rPr>
                <w:rFonts w:ascii="Century Gothic" w:hAnsi="Century Gothic"/>
              </w:rPr>
            </w:pPr>
            <w:r>
              <w:rPr>
                <w:rFonts w:ascii="Century Gothic" w:hAnsi="Century Gothic"/>
              </w:rPr>
              <w:t>Information above</w:t>
            </w:r>
          </w:p>
        </w:tc>
      </w:tr>
      <w:tr w:rsidR="00D42427" w14:paraId="6418DEE4"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8F9B7" w14:textId="77777777" w:rsidR="00D42427" w:rsidRPr="00656C07" w:rsidRDefault="00D42427" w:rsidP="001B4101">
            <w:r w:rsidRPr="00656C07">
              <w:t>Mechanism of engagement</w:t>
            </w:r>
          </w:p>
        </w:tc>
        <w:tc>
          <w:tcPr>
            <w:tcW w:w="6374" w:type="dxa"/>
            <w:tcBorders>
              <w:top w:val="nil"/>
              <w:left w:val="nil"/>
              <w:bottom w:val="single" w:sz="8" w:space="0" w:color="auto"/>
              <w:right w:val="single" w:sz="8" w:space="0" w:color="auto"/>
            </w:tcBorders>
            <w:tcMar>
              <w:top w:w="0" w:type="dxa"/>
              <w:left w:w="108" w:type="dxa"/>
              <w:bottom w:w="0" w:type="dxa"/>
              <w:right w:w="108" w:type="dxa"/>
            </w:tcMar>
            <w:hideMark/>
          </w:tcPr>
          <w:p w14:paraId="7DC0AF7A" w14:textId="77777777" w:rsidR="00D42427" w:rsidRPr="00656C07" w:rsidRDefault="00D42427" w:rsidP="001B4101">
            <w:r>
              <w:t>In person</w:t>
            </w:r>
          </w:p>
        </w:tc>
      </w:tr>
      <w:tr w:rsidR="00D42427" w14:paraId="02064E59"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BCF89" w14:textId="77777777" w:rsidR="00D42427" w:rsidRPr="00656C07" w:rsidRDefault="00D42427" w:rsidP="001B4101">
            <w:r w:rsidRPr="00656C07">
              <w:t>Feedback received from attendees</w:t>
            </w:r>
          </w:p>
        </w:tc>
        <w:tc>
          <w:tcPr>
            <w:tcW w:w="6374" w:type="dxa"/>
            <w:tcBorders>
              <w:top w:val="nil"/>
              <w:left w:val="nil"/>
              <w:bottom w:val="single" w:sz="8" w:space="0" w:color="auto"/>
              <w:right w:val="single" w:sz="8" w:space="0" w:color="auto"/>
            </w:tcBorders>
            <w:tcMar>
              <w:top w:w="0" w:type="dxa"/>
              <w:left w:w="108" w:type="dxa"/>
              <w:bottom w:w="0" w:type="dxa"/>
              <w:right w:w="108" w:type="dxa"/>
            </w:tcMar>
          </w:tcPr>
          <w:p w14:paraId="10C5742B" w14:textId="77777777" w:rsidR="00D42427" w:rsidRPr="00656C07" w:rsidRDefault="00D42427" w:rsidP="001B4101">
            <w:r w:rsidRPr="00656C07">
              <w:t>Information below</w:t>
            </w:r>
          </w:p>
        </w:tc>
      </w:tr>
      <w:tr w:rsidR="00D42427" w14:paraId="1BE1364A"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4CB3" w14:textId="77777777" w:rsidR="00D42427" w:rsidRPr="00656C07" w:rsidRDefault="00D42427" w:rsidP="001B4101">
            <w:r w:rsidRPr="00656C07">
              <w:t>Identification of under-represented groups, barriers to their participation and suggestions to overcome these barriers</w:t>
            </w:r>
          </w:p>
        </w:tc>
        <w:tc>
          <w:tcPr>
            <w:tcW w:w="6374" w:type="dxa"/>
            <w:tcBorders>
              <w:top w:val="nil"/>
              <w:left w:val="nil"/>
              <w:bottom w:val="single" w:sz="8" w:space="0" w:color="auto"/>
              <w:right w:val="single" w:sz="8" w:space="0" w:color="auto"/>
            </w:tcBorders>
            <w:tcMar>
              <w:top w:w="0" w:type="dxa"/>
              <w:left w:w="108" w:type="dxa"/>
              <w:bottom w:w="0" w:type="dxa"/>
              <w:right w:w="108" w:type="dxa"/>
            </w:tcMar>
          </w:tcPr>
          <w:p w14:paraId="3EA35ADA" w14:textId="77777777" w:rsidR="00D42427" w:rsidRPr="00E20CC7" w:rsidRDefault="00D42427" w:rsidP="001B4101">
            <w:pPr>
              <w:rPr>
                <w:rFonts w:cs="Calibri"/>
                <w:color w:val="242424"/>
              </w:rPr>
            </w:pPr>
            <w:r w:rsidRPr="00E32EC0">
              <w:rPr>
                <w:rFonts w:cs="Calibri"/>
                <w:color w:val="242424"/>
              </w:rPr>
              <w:t xml:space="preserve">It was agreed at the Disability and Neurodiversity Partnership Board meeting that further wider representation and participation from experts with lived experience of </w:t>
            </w:r>
            <w:r>
              <w:rPr>
                <w:rFonts w:cs="Calibri"/>
                <w:color w:val="242424"/>
              </w:rPr>
              <w:t xml:space="preserve">physical </w:t>
            </w:r>
            <w:r w:rsidRPr="00E32EC0">
              <w:rPr>
                <w:rFonts w:cs="Calibri"/>
                <w:color w:val="242424"/>
              </w:rPr>
              <w:t>disabilities should be the focus of future activities.</w:t>
            </w:r>
          </w:p>
        </w:tc>
      </w:tr>
      <w:tr w:rsidR="00D42427" w14:paraId="7C0234BF"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C673C" w14:textId="77777777" w:rsidR="00D42427" w:rsidRPr="00656C07" w:rsidRDefault="00D42427" w:rsidP="001B4101">
            <w:pPr>
              <w:rPr>
                <w:b/>
                <w:bCs/>
              </w:rPr>
            </w:pPr>
            <w:r w:rsidRPr="00656C07">
              <w:rPr>
                <w:b/>
                <w:bCs/>
              </w:rPr>
              <w:t>Involvement in Council Processes</w:t>
            </w:r>
          </w:p>
        </w:tc>
        <w:tc>
          <w:tcPr>
            <w:tcW w:w="6374" w:type="dxa"/>
            <w:tcBorders>
              <w:top w:val="nil"/>
              <w:left w:val="nil"/>
              <w:bottom w:val="single" w:sz="8" w:space="0" w:color="auto"/>
              <w:right w:val="single" w:sz="8" w:space="0" w:color="auto"/>
            </w:tcBorders>
            <w:tcMar>
              <w:top w:w="0" w:type="dxa"/>
              <w:left w:w="108" w:type="dxa"/>
              <w:bottom w:w="0" w:type="dxa"/>
              <w:right w:w="108" w:type="dxa"/>
            </w:tcMar>
          </w:tcPr>
          <w:p w14:paraId="6D414508" w14:textId="77777777" w:rsidR="00D42427" w:rsidRPr="00656C07" w:rsidRDefault="00D42427" w:rsidP="001B4101">
            <w:r>
              <w:t>Information above.</w:t>
            </w:r>
          </w:p>
        </w:tc>
      </w:tr>
      <w:tr w:rsidR="00D42427" w14:paraId="32F5EA4F"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E7281" w14:textId="77777777" w:rsidR="00D42427" w:rsidRPr="00656C07" w:rsidRDefault="00D42427" w:rsidP="001B4101">
            <w:r w:rsidRPr="00656C07">
              <w:t>Number of Experts by Experience supported to be involved in the quarter</w:t>
            </w:r>
          </w:p>
        </w:tc>
        <w:tc>
          <w:tcPr>
            <w:tcW w:w="6374" w:type="dxa"/>
            <w:tcBorders>
              <w:top w:val="nil"/>
              <w:left w:val="nil"/>
              <w:bottom w:val="single" w:sz="8" w:space="0" w:color="auto"/>
              <w:right w:val="single" w:sz="8" w:space="0" w:color="auto"/>
            </w:tcBorders>
            <w:tcMar>
              <w:top w:w="0" w:type="dxa"/>
              <w:left w:w="108" w:type="dxa"/>
              <w:bottom w:w="0" w:type="dxa"/>
              <w:right w:w="108" w:type="dxa"/>
            </w:tcMar>
          </w:tcPr>
          <w:p w14:paraId="6E6BA716" w14:textId="77777777" w:rsidR="00D42427" w:rsidRPr="00BE3783" w:rsidRDefault="00D42427" w:rsidP="001B4101">
            <w:r>
              <w:t>36.</w:t>
            </w:r>
          </w:p>
        </w:tc>
      </w:tr>
      <w:tr w:rsidR="00D42427" w14:paraId="4B50A697"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AA128" w14:textId="77777777" w:rsidR="00D42427" w:rsidRPr="00656C07" w:rsidRDefault="00D42427" w:rsidP="001B4101">
            <w:r w:rsidRPr="00656C07">
              <w:t>Number and type of services monitored</w:t>
            </w:r>
          </w:p>
        </w:tc>
        <w:tc>
          <w:tcPr>
            <w:tcW w:w="6374" w:type="dxa"/>
            <w:tcBorders>
              <w:top w:val="nil"/>
              <w:left w:val="nil"/>
              <w:bottom w:val="single" w:sz="8" w:space="0" w:color="auto"/>
              <w:right w:val="single" w:sz="8" w:space="0" w:color="auto"/>
            </w:tcBorders>
            <w:tcMar>
              <w:top w:w="0" w:type="dxa"/>
              <w:left w:w="108" w:type="dxa"/>
              <w:bottom w:w="0" w:type="dxa"/>
              <w:right w:w="108" w:type="dxa"/>
            </w:tcMar>
            <w:hideMark/>
          </w:tcPr>
          <w:p w14:paraId="417547CF" w14:textId="77777777" w:rsidR="00D42427" w:rsidRPr="00656C07" w:rsidRDefault="00D42427" w:rsidP="001B4101">
            <w:r>
              <w:t>-</w:t>
            </w:r>
          </w:p>
        </w:tc>
      </w:tr>
      <w:tr w:rsidR="00D42427" w14:paraId="5C9B1C75" w14:textId="77777777" w:rsidTr="001B4101">
        <w:tc>
          <w:tcPr>
            <w:tcW w:w="7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3D940" w14:textId="77777777" w:rsidR="00D42427" w:rsidRPr="00656C07" w:rsidRDefault="00D42427" w:rsidP="001B4101">
            <w:r w:rsidRPr="00656C07">
              <w:t>Number and type of engagement/ consultation opportunities supported</w:t>
            </w:r>
          </w:p>
        </w:tc>
        <w:tc>
          <w:tcPr>
            <w:tcW w:w="6374" w:type="dxa"/>
            <w:tcBorders>
              <w:top w:val="nil"/>
              <w:left w:val="nil"/>
              <w:bottom w:val="single" w:sz="8" w:space="0" w:color="auto"/>
              <w:right w:val="single" w:sz="8" w:space="0" w:color="auto"/>
            </w:tcBorders>
            <w:tcMar>
              <w:top w:w="0" w:type="dxa"/>
              <w:left w:w="108" w:type="dxa"/>
              <w:bottom w:w="0" w:type="dxa"/>
              <w:right w:w="108" w:type="dxa"/>
            </w:tcMar>
          </w:tcPr>
          <w:p w14:paraId="448269C1" w14:textId="77777777" w:rsidR="00D42427" w:rsidRPr="00F350B7" w:rsidRDefault="00D42427" w:rsidP="001B4101">
            <w:pPr>
              <w:pStyle w:val="paragraph"/>
              <w:spacing w:before="0" w:beforeAutospacing="0" w:after="0" w:afterAutospacing="0"/>
              <w:textAlignment w:val="baseline"/>
              <w:rPr>
                <w:rFonts w:ascii="Century Gothic" w:hAnsi="Century Gothic" w:cs="Segoe UI"/>
                <w:sz w:val="22"/>
                <w:szCs w:val="22"/>
              </w:rPr>
            </w:pPr>
            <w:r w:rsidRPr="00F350B7">
              <w:rPr>
                <w:rStyle w:val="normaltextrun"/>
                <w:rFonts w:ascii="Century Gothic" w:eastAsiaTheme="majorEastAsia" w:hAnsi="Century Gothic" w:cs="Calibri"/>
                <w:sz w:val="22"/>
                <w:szCs w:val="22"/>
                <w:lang w:val="en-US"/>
              </w:rPr>
              <w:t>Asist community advocates went to a Warm Space event held by Cerebral Palsy Mid Staffordshire on Friday 21st February in Stafford. Group attendees are from Stafford and surrounding areas in mid Staffordshire.</w:t>
            </w:r>
            <w:r w:rsidRPr="00F350B7">
              <w:rPr>
                <w:rStyle w:val="eop"/>
                <w:rFonts w:ascii="Century Gothic" w:eastAsiaTheme="majorEastAsia" w:hAnsi="Century Gothic" w:cs="Calibri"/>
                <w:sz w:val="22"/>
                <w:szCs w:val="22"/>
              </w:rPr>
              <w:t> </w:t>
            </w:r>
          </w:p>
          <w:p w14:paraId="5A1FF48B" w14:textId="77777777" w:rsidR="00D42427" w:rsidRPr="00F350B7" w:rsidRDefault="00D42427" w:rsidP="001B4101">
            <w:pPr>
              <w:pStyle w:val="paragraph"/>
              <w:spacing w:before="0" w:beforeAutospacing="0" w:after="0" w:afterAutospacing="0"/>
              <w:textAlignment w:val="baseline"/>
              <w:rPr>
                <w:rFonts w:ascii="Century Gothic" w:hAnsi="Century Gothic" w:cs="Segoe UI"/>
                <w:sz w:val="22"/>
                <w:szCs w:val="22"/>
              </w:rPr>
            </w:pPr>
            <w:r w:rsidRPr="00F350B7">
              <w:rPr>
                <w:rStyle w:val="eop"/>
                <w:rFonts w:ascii="Century Gothic" w:eastAsiaTheme="majorEastAsia" w:hAnsi="Century Gothic" w:cs="Calibri"/>
                <w:sz w:val="22"/>
                <w:szCs w:val="22"/>
              </w:rPr>
              <w:t> </w:t>
            </w:r>
          </w:p>
          <w:p w14:paraId="16F553C3" w14:textId="77777777" w:rsidR="00D42427" w:rsidRPr="00010BAF" w:rsidRDefault="00D42427" w:rsidP="001B4101">
            <w:pPr>
              <w:pStyle w:val="NoSpacing"/>
              <w:rPr>
                <w:sz w:val="24"/>
                <w:szCs w:val="24"/>
              </w:rPr>
            </w:pPr>
            <w:r w:rsidRPr="00F350B7">
              <w:rPr>
                <w:rStyle w:val="normaltextrun"/>
                <w:rFonts w:ascii="Century Gothic" w:eastAsiaTheme="majorEastAsia" w:hAnsi="Century Gothic" w:cs="Calibri"/>
                <w:lang w:val="en-US"/>
              </w:rPr>
              <w:lastRenderedPageBreak/>
              <w:t xml:space="preserve">We spoke to 4 group members and in some cases their relatives and support workers who were also in attendance, asking them to look at the information on </w:t>
            </w:r>
            <w:r w:rsidRPr="00F350B7">
              <w:rPr>
                <w:rFonts w:ascii="Century Gothic" w:hAnsi="Century Gothic" w:cs="Calibri"/>
                <w:color w:val="000000"/>
              </w:rPr>
              <w:t>Accessibility Topic 5 What is a Social Worker, Social Care Assessor/Care Act Assessor</w:t>
            </w:r>
            <w:r w:rsidRPr="00F350B7">
              <w:rPr>
                <w:rStyle w:val="normaltextrun"/>
                <w:rFonts w:ascii="Century Gothic" w:eastAsiaTheme="majorEastAsia" w:hAnsi="Century Gothic" w:cs="Calibri"/>
                <w:lang w:val="en-US"/>
              </w:rPr>
              <w:t xml:space="preserve">, </w:t>
            </w:r>
            <w:r w:rsidRPr="00F350B7">
              <w:rPr>
                <w:rFonts w:ascii="Century Gothic" w:hAnsi="Century Gothic" w:cs="Calibri"/>
                <w:color w:val="000000"/>
              </w:rPr>
              <w:t>What does a Social Worker, Social Care Assessor and Care Act Assessor do?</w:t>
            </w:r>
          </w:p>
        </w:tc>
      </w:tr>
    </w:tbl>
    <w:p w14:paraId="459F8C52" w14:textId="77777777" w:rsidR="00D42427" w:rsidRPr="00D42427" w:rsidRDefault="00D42427" w:rsidP="00D42427">
      <w:pPr>
        <w:pStyle w:val="Heading1"/>
        <w:rPr>
          <w:rFonts w:ascii="Century Gothic" w:hAnsi="Century Gothic"/>
          <w:b/>
          <w:bCs/>
          <w:color w:val="00B050"/>
          <w:sz w:val="24"/>
          <w:szCs w:val="24"/>
        </w:rPr>
      </w:pPr>
      <w:bookmarkStart w:id="0" w:name="_Toc147390504"/>
      <w:r w:rsidRPr="00D42427">
        <w:rPr>
          <w:rFonts w:ascii="Century Gothic" w:hAnsi="Century Gothic"/>
          <w:b/>
          <w:bCs/>
          <w:color w:val="00B050"/>
          <w:sz w:val="24"/>
          <w:szCs w:val="24"/>
        </w:rPr>
        <w:lastRenderedPageBreak/>
        <w:t>Disability Partnership Board meeting</w:t>
      </w:r>
      <w:bookmarkEnd w:id="0"/>
    </w:p>
    <w:p w14:paraId="14D6FB23" w14:textId="77777777" w:rsidR="00D42427" w:rsidRPr="00C955D7" w:rsidRDefault="00D42427" w:rsidP="00D42427">
      <w:pPr>
        <w:pStyle w:val="NoSpacing"/>
        <w:rPr>
          <w:rFonts w:ascii="Century Gothic" w:hAnsi="Century Gothic"/>
          <w:b/>
          <w:bCs/>
        </w:rPr>
      </w:pPr>
      <w:r w:rsidRPr="00C955D7">
        <w:rPr>
          <w:rFonts w:ascii="Century Gothic" w:hAnsi="Century Gothic"/>
          <w:b/>
          <w:bCs/>
        </w:rPr>
        <w:t>User Subgroups to the Disability and Neurodiversity Partnership Board</w:t>
      </w:r>
    </w:p>
    <w:p w14:paraId="166D1CEC" w14:textId="77777777" w:rsidR="00D42427" w:rsidRPr="00B37BBA" w:rsidRDefault="00D42427" w:rsidP="00D42427">
      <w:pPr>
        <w:pStyle w:val="NoSpacing"/>
        <w:rPr>
          <w:rFonts w:ascii="Century Gothic" w:eastAsia="Calibri" w:hAnsi="Century Gothic" w:cs="Calibri"/>
          <w:color w:val="000000" w:themeColor="text1"/>
        </w:rPr>
      </w:pPr>
      <w:r w:rsidRPr="00163C0F">
        <w:rPr>
          <w:rFonts w:ascii="Century Gothic" w:eastAsia="Calibri" w:hAnsi="Century Gothic" w:cs="Calibri"/>
          <w:color w:val="000000" w:themeColor="text1"/>
        </w:rPr>
        <w:t>A Subgroup meeting took place on 26 February ahead of the Disability and Neurodiversity Partnership Board meeting on 4 March. Members from Dementia Voice, Disability Solutions and Cerebral Palsy Mid Staffordshire attended.</w:t>
      </w:r>
    </w:p>
    <w:p w14:paraId="72FB4DD7" w14:textId="77777777" w:rsidR="00D42427" w:rsidRDefault="00D42427" w:rsidP="00D42427">
      <w:pPr>
        <w:pStyle w:val="NoSpacing"/>
        <w:rPr>
          <w:rFonts w:ascii="Century Gothic" w:eastAsia="Calibri" w:hAnsi="Century Gothic" w:cs="Calibri"/>
          <w:color w:val="000000" w:themeColor="text1"/>
        </w:rPr>
      </w:pPr>
    </w:p>
    <w:p w14:paraId="2DE63595" w14:textId="77777777" w:rsidR="00D42427" w:rsidRPr="00163C0F" w:rsidRDefault="00D42427" w:rsidP="00D42427">
      <w:pPr>
        <w:pStyle w:val="NoSpacing"/>
        <w:rPr>
          <w:rFonts w:ascii="Century Gothic" w:eastAsia="Calibri" w:hAnsi="Century Gothic" w:cs="Calibri"/>
          <w:color w:val="000000" w:themeColor="text1"/>
        </w:rPr>
      </w:pPr>
      <w:r w:rsidRPr="00163C0F">
        <w:rPr>
          <w:rFonts w:ascii="Century Gothic" w:eastAsia="Calibri" w:hAnsi="Century Gothic" w:cs="Calibri"/>
          <w:color w:val="000000" w:themeColor="text1"/>
        </w:rPr>
        <w:t>Physical disabilities 60%</w:t>
      </w:r>
    </w:p>
    <w:p w14:paraId="73A24DFF" w14:textId="77777777" w:rsidR="00D42427" w:rsidRPr="00163C0F" w:rsidRDefault="00D42427" w:rsidP="00D42427">
      <w:pPr>
        <w:pStyle w:val="NoSpacing"/>
        <w:rPr>
          <w:rFonts w:ascii="Century Gothic" w:eastAsia="Calibri" w:hAnsi="Century Gothic" w:cs="Calibri"/>
          <w:color w:val="000000" w:themeColor="text1"/>
        </w:rPr>
      </w:pPr>
      <w:r w:rsidRPr="00163C0F">
        <w:rPr>
          <w:rFonts w:ascii="Century Gothic" w:eastAsia="Calibri" w:hAnsi="Century Gothic" w:cs="Calibri"/>
          <w:color w:val="000000" w:themeColor="text1"/>
        </w:rPr>
        <w:t>Dementia 20%</w:t>
      </w:r>
    </w:p>
    <w:p w14:paraId="34972AAC" w14:textId="77777777" w:rsidR="00D42427" w:rsidRPr="00163C0F" w:rsidRDefault="00D42427" w:rsidP="00D42427">
      <w:pPr>
        <w:pStyle w:val="NoSpacing"/>
        <w:rPr>
          <w:rFonts w:ascii="Century Gothic" w:eastAsia="Calibri" w:hAnsi="Century Gothic" w:cs="Calibri"/>
          <w:color w:val="000000" w:themeColor="text1"/>
        </w:rPr>
      </w:pPr>
      <w:r w:rsidRPr="00163C0F">
        <w:rPr>
          <w:rFonts w:ascii="Century Gothic" w:eastAsia="Calibri" w:hAnsi="Century Gothic" w:cs="Calibri"/>
          <w:color w:val="000000" w:themeColor="text1"/>
        </w:rPr>
        <w:t>Learning disabilities 20%</w:t>
      </w:r>
    </w:p>
    <w:p w14:paraId="308FEA78" w14:textId="77777777" w:rsidR="00812C64" w:rsidRPr="00D42427" w:rsidRDefault="00812C64" w:rsidP="00D42427"/>
    <w:sectPr w:rsidR="00812C64" w:rsidRPr="00D42427" w:rsidSect="00D42427">
      <w:foot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9EC7" w14:textId="77777777" w:rsidR="00823394" w:rsidRDefault="00823394" w:rsidP="00301893">
      <w:pPr>
        <w:spacing w:after="0" w:line="240" w:lineRule="auto"/>
      </w:pPr>
      <w:r>
        <w:separator/>
      </w:r>
    </w:p>
  </w:endnote>
  <w:endnote w:type="continuationSeparator" w:id="0">
    <w:p w14:paraId="38CC2EA6" w14:textId="77777777" w:rsidR="00823394" w:rsidRDefault="00823394" w:rsidP="0030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75767"/>
      <w:docPartObj>
        <w:docPartGallery w:val="Page Numbers (Bottom of Page)"/>
        <w:docPartUnique/>
      </w:docPartObj>
    </w:sdtPr>
    <w:sdtEndPr>
      <w:rPr>
        <w:noProof/>
      </w:rPr>
    </w:sdtEndPr>
    <w:sdtContent>
      <w:p w14:paraId="01C1FA7C" w14:textId="39608157" w:rsidR="00301893" w:rsidRDefault="00301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1C6DC" w14:textId="77777777" w:rsidR="00301893" w:rsidRDefault="0030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B9FD" w14:textId="77777777" w:rsidR="00823394" w:rsidRDefault="00823394" w:rsidP="00301893">
      <w:pPr>
        <w:spacing w:after="0" w:line="240" w:lineRule="auto"/>
      </w:pPr>
      <w:r>
        <w:separator/>
      </w:r>
    </w:p>
  </w:footnote>
  <w:footnote w:type="continuationSeparator" w:id="0">
    <w:p w14:paraId="4DF5C340" w14:textId="77777777" w:rsidR="00823394" w:rsidRDefault="00823394" w:rsidP="0030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7230"/>
    <w:multiLevelType w:val="hybridMultilevel"/>
    <w:tmpl w:val="CCC8A39A"/>
    <w:lvl w:ilvl="0" w:tplc="E476477A">
      <w:start w:val="1"/>
      <w:numFmt w:val="bullet"/>
      <w:lvlText w:val=""/>
      <w:lvlJc w:val="left"/>
      <w:pPr>
        <w:ind w:left="720" w:hanging="360"/>
      </w:pPr>
      <w:rPr>
        <w:rFonts w:ascii="Symbol" w:hAnsi="Symbol" w:hint="default"/>
      </w:rPr>
    </w:lvl>
    <w:lvl w:ilvl="1" w:tplc="A8AC4504">
      <w:start w:val="1"/>
      <w:numFmt w:val="bullet"/>
      <w:lvlText w:val="o"/>
      <w:lvlJc w:val="left"/>
      <w:pPr>
        <w:ind w:left="1440" w:hanging="360"/>
      </w:pPr>
      <w:rPr>
        <w:rFonts w:ascii="Courier New" w:hAnsi="Courier New" w:hint="default"/>
      </w:rPr>
    </w:lvl>
    <w:lvl w:ilvl="2" w:tplc="0CF0BF72">
      <w:start w:val="1"/>
      <w:numFmt w:val="bullet"/>
      <w:lvlText w:val=""/>
      <w:lvlJc w:val="left"/>
      <w:pPr>
        <w:ind w:left="2160" w:hanging="360"/>
      </w:pPr>
      <w:rPr>
        <w:rFonts w:ascii="Wingdings" w:hAnsi="Wingdings" w:hint="default"/>
      </w:rPr>
    </w:lvl>
    <w:lvl w:ilvl="3" w:tplc="22C07E04">
      <w:start w:val="1"/>
      <w:numFmt w:val="bullet"/>
      <w:lvlText w:val=""/>
      <w:lvlJc w:val="left"/>
      <w:pPr>
        <w:ind w:left="2880" w:hanging="360"/>
      </w:pPr>
      <w:rPr>
        <w:rFonts w:ascii="Symbol" w:hAnsi="Symbol" w:hint="default"/>
      </w:rPr>
    </w:lvl>
    <w:lvl w:ilvl="4" w:tplc="C3A88F32">
      <w:start w:val="1"/>
      <w:numFmt w:val="bullet"/>
      <w:lvlText w:val="o"/>
      <w:lvlJc w:val="left"/>
      <w:pPr>
        <w:ind w:left="3600" w:hanging="360"/>
      </w:pPr>
      <w:rPr>
        <w:rFonts w:ascii="Courier New" w:hAnsi="Courier New" w:hint="default"/>
      </w:rPr>
    </w:lvl>
    <w:lvl w:ilvl="5" w:tplc="D55CD87E">
      <w:start w:val="1"/>
      <w:numFmt w:val="bullet"/>
      <w:lvlText w:val=""/>
      <w:lvlJc w:val="left"/>
      <w:pPr>
        <w:ind w:left="4320" w:hanging="360"/>
      </w:pPr>
      <w:rPr>
        <w:rFonts w:ascii="Wingdings" w:hAnsi="Wingdings" w:hint="default"/>
      </w:rPr>
    </w:lvl>
    <w:lvl w:ilvl="6" w:tplc="F2F666EE">
      <w:start w:val="1"/>
      <w:numFmt w:val="bullet"/>
      <w:lvlText w:val=""/>
      <w:lvlJc w:val="left"/>
      <w:pPr>
        <w:ind w:left="5040" w:hanging="360"/>
      </w:pPr>
      <w:rPr>
        <w:rFonts w:ascii="Symbol" w:hAnsi="Symbol" w:hint="default"/>
      </w:rPr>
    </w:lvl>
    <w:lvl w:ilvl="7" w:tplc="36D6216A">
      <w:start w:val="1"/>
      <w:numFmt w:val="bullet"/>
      <w:lvlText w:val="o"/>
      <w:lvlJc w:val="left"/>
      <w:pPr>
        <w:ind w:left="5760" w:hanging="360"/>
      </w:pPr>
      <w:rPr>
        <w:rFonts w:ascii="Courier New" w:hAnsi="Courier New" w:hint="default"/>
      </w:rPr>
    </w:lvl>
    <w:lvl w:ilvl="8" w:tplc="42E00E98">
      <w:start w:val="1"/>
      <w:numFmt w:val="bullet"/>
      <w:lvlText w:val=""/>
      <w:lvlJc w:val="left"/>
      <w:pPr>
        <w:ind w:left="6480" w:hanging="360"/>
      </w:pPr>
      <w:rPr>
        <w:rFonts w:ascii="Wingdings" w:hAnsi="Wingdings" w:hint="default"/>
      </w:rPr>
    </w:lvl>
  </w:abstractNum>
  <w:abstractNum w:abstractNumId="1" w15:restartNumberingAfterBreak="0">
    <w:nsid w:val="57691B1B"/>
    <w:multiLevelType w:val="hybridMultilevel"/>
    <w:tmpl w:val="26C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525402">
    <w:abstractNumId w:val="0"/>
  </w:num>
  <w:num w:numId="2" w16cid:durableId="146928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27"/>
    <w:rsid w:val="00301893"/>
    <w:rsid w:val="0048347B"/>
    <w:rsid w:val="006B5881"/>
    <w:rsid w:val="00812C64"/>
    <w:rsid w:val="00823394"/>
    <w:rsid w:val="00D42427"/>
    <w:rsid w:val="00DA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6AB2"/>
  <w15:chartTrackingRefBased/>
  <w15:docId w15:val="{3A79FF68-BB97-4131-8154-BEE1F6A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27"/>
    <w:pPr>
      <w:spacing w:after="200" w:line="276" w:lineRule="auto"/>
    </w:pPr>
    <w:rPr>
      <w:rFonts w:ascii="Century Gothic" w:eastAsia="Calibri" w:hAnsi="Century Gothic" w:cs="Times New Roman"/>
      <w:kern w:val="0"/>
      <w14:ligatures w14:val="none"/>
    </w:rPr>
  </w:style>
  <w:style w:type="paragraph" w:styleId="Heading1">
    <w:name w:val="heading 1"/>
    <w:basedOn w:val="Normal"/>
    <w:next w:val="Normal"/>
    <w:link w:val="Heading1Char"/>
    <w:uiPriority w:val="9"/>
    <w:qFormat/>
    <w:rsid w:val="00D42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427"/>
    <w:rPr>
      <w:rFonts w:eastAsiaTheme="majorEastAsia" w:cstheme="majorBidi"/>
      <w:color w:val="272727" w:themeColor="text1" w:themeTint="D8"/>
    </w:rPr>
  </w:style>
  <w:style w:type="paragraph" w:styleId="Title">
    <w:name w:val="Title"/>
    <w:basedOn w:val="Normal"/>
    <w:next w:val="Normal"/>
    <w:link w:val="TitleChar"/>
    <w:uiPriority w:val="10"/>
    <w:qFormat/>
    <w:rsid w:val="00D42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427"/>
    <w:pPr>
      <w:spacing w:before="160"/>
      <w:jc w:val="center"/>
    </w:pPr>
    <w:rPr>
      <w:i/>
      <w:iCs/>
      <w:color w:val="404040" w:themeColor="text1" w:themeTint="BF"/>
    </w:rPr>
  </w:style>
  <w:style w:type="character" w:customStyle="1" w:styleId="QuoteChar">
    <w:name w:val="Quote Char"/>
    <w:basedOn w:val="DefaultParagraphFont"/>
    <w:link w:val="Quote"/>
    <w:uiPriority w:val="29"/>
    <w:rsid w:val="00D42427"/>
    <w:rPr>
      <w:i/>
      <w:iCs/>
      <w:color w:val="404040" w:themeColor="text1" w:themeTint="BF"/>
    </w:rPr>
  </w:style>
  <w:style w:type="paragraph" w:styleId="ListParagraph">
    <w:name w:val="List Paragraph"/>
    <w:basedOn w:val="Normal"/>
    <w:uiPriority w:val="34"/>
    <w:qFormat/>
    <w:rsid w:val="00D42427"/>
    <w:pPr>
      <w:ind w:left="720"/>
      <w:contextualSpacing/>
    </w:pPr>
  </w:style>
  <w:style w:type="character" w:styleId="IntenseEmphasis">
    <w:name w:val="Intense Emphasis"/>
    <w:basedOn w:val="DefaultParagraphFont"/>
    <w:uiPriority w:val="21"/>
    <w:qFormat/>
    <w:rsid w:val="00D42427"/>
    <w:rPr>
      <w:i/>
      <w:iCs/>
      <w:color w:val="0F4761" w:themeColor="accent1" w:themeShade="BF"/>
    </w:rPr>
  </w:style>
  <w:style w:type="paragraph" w:styleId="IntenseQuote">
    <w:name w:val="Intense Quote"/>
    <w:basedOn w:val="Normal"/>
    <w:next w:val="Normal"/>
    <w:link w:val="IntenseQuoteChar"/>
    <w:uiPriority w:val="30"/>
    <w:qFormat/>
    <w:rsid w:val="00D42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427"/>
    <w:rPr>
      <w:i/>
      <w:iCs/>
      <w:color w:val="0F4761" w:themeColor="accent1" w:themeShade="BF"/>
    </w:rPr>
  </w:style>
  <w:style w:type="character" w:styleId="IntenseReference">
    <w:name w:val="Intense Reference"/>
    <w:basedOn w:val="DefaultParagraphFont"/>
    <w:uiPriority w:val="32"/>
    <w:qFormat/>
    <w:rsid w:val="00D42427"/>
    <w:rPr>
      <w:b/>
      <w:bCs/>
      <w:smallCaps/>
      <w:color w:val="0F4761" w:themeColor="accent1" w:themeShade="BF"/>
      <w:spacing w:val="5"/>
    </w:rPr>
  </w:style>
  <w:style w:type="paragraph" w:styleId="NoSpacing">
    <w:name w:val="No Spacing"/>
    <w:uiPriority w:val="1"/>
    <w:qFormat/>
    <w:rsid w:val="00D42427"/>
    <w:pPr>
      <w:spacing w:after="0" w:line="240" w:lineRule="auto"/>
    </w:pPr>
    <w:rPr>
      <w:kern w:val="0"/>
      <w14:ligatures w14:val="none"/>
    </w:rPr>
  </w:style>
  <w:style w:type="character" w:customStyle="1" w:styleId="normaltextrun">
    <w:name w:val="normaltextrun"/>
    <w:basedOn w:val="DefaultParagraphFont"/>
    <w:rsid w:val="00D42427"/>
  </w:style>
  <w:style w:type="character" w:customStyle="1" w:styleId="eop">
    <w:name w:val="eop"/>
    <w:basedOn w:val="DefaultParagraphFont"/>
    <w:rsid w:val="00D42427"/>
  </w:style>
  <w:style w:type="paragraph" w:customStyle="1" w:styleId="paragraph">
    <w:name w:val="paragraph"/>
    <w:basedOn w:val="Normal"/>
    <w:rsid w:val="00D4242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301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93"/>
    <w:rPr>
      <w:rFonts w:ascii="Century Gothic" w:eastAsia="Calibri" w:hAnsi="Century Gothic" w:cs="Times New Roman"/>
      <w:kern w:val="0"/>
      <w14:ligatures w14:val="none"/>
    </w:rPr>
  </w:style>
  <w:style w:type="paragraph" w:styleId="Footer">
    <w:name w:val="footer"/>
    <w:basedOn w:val="Normal"/>
    <w:link w:val="FooterChar"/>
    <w:uiPriority w:val="99"/>
    <w:unhideWhenUsed/>
    <w:rsid w:val="0030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93"/>
    <w:rPr>
      <w:rFonts w:ascii="Century Gothic" w:eastAsia="Calibri" w:hAnsi="Century Gothic"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Plant</dc:creator>
  <cp:keywords/>
  <dc:description/>
  <cp:lastModifiedBy>Ruth Plant</cp:lastModifiedBy>
  <cp:revision>2</cp:revision>
  <dcterms:created xsi:type="dcterms:W3CDTF">2025-04-11T08:35:00Z</dcterms:created>
  <dcterms:modified xsi:type="dcterms:W3CDTF">2025-04-11T10:53:00Z</dcterms:modified>
</cp:coreProperties>
</file>