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67E5" w14:textId="77777777" w:rsidR="00CA16E5" w:rsidRPr="00CA16E5" w:rsidRDefault="00CA16E5" w:rsidP="00CA16E5">
      <w:pPr>
        <w:pStyle w:val="Heading1"/>
        <w:rPr>
          <w:rFonts w:ascii="Century Gothic" w:hAnsi="Century Gothic"/>
          <w:b/>
          <w:bCs/>
          <w:color w:val="00B050"/>
          <w:sz w:val="24"/>
          <w:szCs w:val="24"/>
        </w:rPr>
      </w:pPr>
      <w:bookmarkStart w:id="0" w:name="_Toc147390503"/>
      <w:r w:rsidRPr="00CA16E5">
        <w:rPr>
          <w:rFonts w:ascii="Century Gothic" w:hAnsi="Century Gothic"/>
          <w:b/>
          <w:bCs/>
          <w:color w:val="00B050"/>
          <w:sz w:val="24"/>
          <w:szCs w:val="24"/>
        </w:rPr>
        <w:t>Co-Production</w:t>
      </w:r>
      <w:bookmarkStart w:id="1" w:name="_Hlk136945266"/>
      <w:bookmarkEnd w:id="0"/>
    </w:p>
    <w:bookmarkEnd w:id="1"/>
    <w:p w14:paraId="72F19EB8" w14:textId="77777777" w:rsidR="00CA16E5" w:rsidRDefault="00CA16E5" w:rsidP="00CA16E5">
      <w:r w:rsidRPr="00A059CD">
        <w:t>We have consulted groups with a focus on transport and accessibility issues. Group members were invited to talk about their views regarding their experiences around using transport (public and private) as well as accessibility issues</w:t>
      </w:r>
      <w:r>
        <w:t>,</w:t>
      </w:r>
      <w:r w:rsidRPr="00A059CD">
        <w:t xml:space="preserve"> including toilets. </w:t>
      </w:r>
    </w:p>
    <w:p w14:paraId="3A62F394" w14:textId="77777777" w:rsidR="00CA16E5" w:rsidRDefault="00CA16E5" w:rsidP="00CA16E5">
      <w:pPr>
        <w:rPr>
          <w:rFonts w:ascii="Calibri" w:hAnsi="Calibri" w:cs="Calibri"/>
          <w:color w:val="000000" w:themeColor="text1"/>
          <w:sz w:val="24"/>
          <w:szCs w:val="24"/>
        </w:rPr>
      </w:pPr>
      <w:r w:rsidRPr="00A059CD">
        <w:rPr>
          <w:rFonts w:cs="Calibri"/>
          <w:color w:val="000000" w:themeColor="text1"/>
        </w:rPr>
        <w:t>Between July and end September 2023 the Asist Co</w:t>
      </w:r>
      <w:r>
        <w:rPr>
          <w:rFonts w:cs="Calibri"/>
          <w:color w:val="000000" w:themeColor="text1"/>
        </w:rPr>
        <w:t>-</w:t>
      </w:r>
      <w:r w:rsidRPr="00A059CD">
        <w:rPr>
          <w:rFonts w:cs="Calibri"/>
          <w:color w:val="000000" w:themeColor="text1"/>
        </w:rPr>
        <w:t>Production team made 39 visits to 11 Community groups across Staffordshire</w:t>
      </w:r>
      <w:r>
        <w:rPr>
          <w:rFonts w:cs="Calibri"/>
          <w:color w:val="000000" w:themeColor="text1"/>
        </w:rPr>
        <w:t xml:space="preserve">, </w:t>
      </w:r>
      <w:r w:rsidRPr="00A059CD">
        <w:rPr>
          <w:rFonts w:cs="Calibri"/>
          <w:color w:val="000000" w:themeColor="text1"/>
        </w:rPr>
        <w:t>speaking with 127 group members. The groups visited were:</w:t>
      </w:r>
    </w:p>
    <w:tbl>
      <w:tblPr>
        <w:tblStyle w:val="TableGrid"/>
        <w:tblW w:w="0" w:type="auto"/>
        <w:jc w:val="center"/>
        <w:tblLook w:val="04A0" w:firstRow="1" w:lastRow="0" w:firstColumn="1" w:lastColumn="0" w:noHBand="0" w:noVBand="1"/>
      </w:tblPr>
      <w:tblGrid>
        <w:gridCol w:w="4390"/>
        <w:gridCol w:w="2976"/>
        <w:gridCol w:w="4678"/>
      </w:tblGrid>
      <w:tr w:rsidR="00CA16E5" w:rsidRPr="00222EBD" w14:paraId="0790B76E" w14:textId="77777777" w:rsidTr="006C1809">
        <w:trPr>
          <w:jc w:val="center"/>
        </w:trPr>
        <w:tc>
          <w:tcPr>
            <w:tcW w:w="4390" w:type="dxa"/>
          </w:tcPr>
          <w:p w14:paraId="01273CA0" w14:textId="77777777" w:rsidR="00CA16E5" w:rsidRPr="00222EBD" w:rsidRDefault="00CA16E5" w:rsidP="006C1809">
            <w:r w:rsidRPr="00222EBD">
              <w:t>Cerebral Palsy Mid Staffordshire</w:t>
            </w:r>
          </w:p>
        </w:tc>
        <w:tc>
          <w:tcPr>
            <w:tcW w:w="2976" w:type="dxa"/>
          </w:tcPr>
          <w:p w14:paraId="594D8104" w14:textId="77777777" w:rsidR="00CA16E5" w:rsidRPr="00222EBD" w:rsidRDefault="00CA16E5" w:rsidP="006C1809">
            <w:pPr>
              <w:jc w:val="center"/>
            </w:pPr>
            <w:r w:rsidRPr="00222EBD">
              <w:t>Stafford</w:t>
            </w:r>
          </w:p>
        </w:tc>
        <w:tc>
          <w:tcPr>
            <w:tcW w:w="4678" w:type="dxa"/>
          </w:tcPr>
          <w:p w14:paraId="0D5B6DD2" w14:textId="77777777" w:rsidR="00CA16E5" w:rsidRPr="00222EBD" w:rsidRDefault="00CA16E5" w:rsidP="006C1809">
            <w:pPr>
              <w:jc w:val="center"/>
            </w:pPr>
            <w:r w:rsidRPr="00222EBD">
              <w:t>Physical disability</w:t>
            </w:r>
          </w:p>
        </w:tc>
      </w:tr>
      <w:tr w:rsidR="00CA16E5" w:rsidRPr="00222EBD" w14:paraId="4B5A0F08" w14:textId="77777777" w:rsidTr="006C1809">
        <w:trPr>
          <w:jc w:val="center"/>
        </w:trPr>
        <w:tc>
          <w:tcPr>
            <w:tcW w:w="4390" w:type="dxa"/>
          </w:tcPr>
          <w:p w14:paraId="55D9BBE5" w14:textId="77777777" w:rsidR="00CA16E5" w:rsidRPr="00222EBD" w:rsidRDefault="00CA16E5" w:rsidP="006C1809">
            <w:pPr>
              <w:tabs>
                <w:tab w:val="left" w:pos="1380"/>
              </w:tabs>
            </w:pPr>
            <w:r w:rsidRPr="00222EBD">
              <w:t>Dementia Voice</w:t>
            </w:r>
          </w:p>
        </w:tc>
        <w:tc>
          <w:tcPr>
            <w:tcW w:w="2976" w:type="dxa"/>
          </w:tcPr>
          <w:p w14:paraId="1D0A1E3B" w14:textId="77777777" w:rsidR="00CA16E5" w:rsidRPr="00222EBD" w:rsidRDefault="00CA16E5" w:rsidP="006C1809">
            <w:pPr>
              <w:jc w:val="center"/>
            </w:pPr>
            <w:r w:rsidRPr="00222EBD">
              <w:t>North Staffs</w:t>
            </w:r>
          </w:p>
        </w:tc>
        <w:tc>
          <w:tcPr>
            <w:tcW w:w="4678" w:type="dxa"/>
          </w:tcPr>
          <w:p w14:paraId="28366F56" w14:textId="77777777" w:rsidR="00CA16E5" w:rsidRPr="00222EBD" w:rsidRDefault="00CA16E5" w:rsidP="006C1809">
            <w:pPr>
              <w:jc w:val="center"/>
            </w:pPr>
            <w:r w:rsidRPr="00222EBD">
              <w:t>Dementia/ Mental Health</w:t>
            </w:r>
          </w:p>
        </w:tc>
      </w:tr>
      <w:tr w:rsidR="00CA16E5" w:rsidRPr="00222EBD" w14:paraId="09A81BAE" w14:textId="77777777" w:rsidTr="006C1809">
        <w:trPr>
          <w:jc w:val="center"/>
        </w:trPr>
        <w:tc>
          <w:tcPr>
            <w:tcW w:w="4390" w:type="dxa"/>
          </w:tcPr>
          <w:p w14:paraId="58FF891C" w14:textId="77777777" w:rsidR="00CA16E5" w:rsidRPr="00222EBD" w:rsidRDefault="00CA16E5" w:rsidP="006C1809">
            <w:r w:rsidRPr="00222EBD">
              <w:t>Disability solutions</w:t>
            </w:r>
          </w:p>
        </w:tc>
        <w:tc>
          <w:tcPr>
            <w:tcW w:w="2976" w:type="dxa"/>
          </w:tcPr>
          <w:p w14:paraId="5E3BE3E4" w14:textId="77777777" w:rsidR="00CA16E5" w:rsidRPr="00222EBD" w:rsidRDefault="00CA16E5" w:rsidP="006C1809">
            <w:pPr>
              <w:jc w:val="center"/>
            </w:pPr>
            <w:r w:rsidRPr="00222EBD">
              <w:t>Newcastle Under Lyme</w:t>
            </w:r>
          </w:p>
        </w:tc>
        <w:tc>
          <w:tcPr>
            <w:tcW w:w="4678" w:type="dxa"/>
          </w:tcPr>
          <w:p w14:paraId="3AA2912C" w14:textId="77777777" w:rsidR="00CA16E5" w:rsidRPr="00222EBD" w:rsidRDefault="00CA16E5" w:rsidP="006C1809">
            <w:pPr>
              <w:jc w:val="center"/>
            </w:pPr>
            <w:r w:rsidRPr="00222EBD">
              <w:t>Physical disabilities</w:t>
            </w:r>
          </w:p>
        </w:tc>
      </w:tr>
      <w:tr w:rsidR="00CA16E5" w:rsidRPr="00222EBD" w14:paraId="1C790877" w14:textId="77777777" w:rsidTr="006C1809">
        <w:trPr>
          <w:jc w:val="center"/>
        </w:trPr>
        <w:tc>
          <w:tcPr>
            <w:tcW w:w="4390" w:type="dxa"/>
          </w:tcPr>
          <w:p w14:paraId="113A9BC2" w14:textId="77777777" w:rsidR="00CA16E5" w:rsidRPr="00222EBD" w:rsidRDefault="00CA16E5" w:rsidP="006C1809">
            <w:proofErr w:type="spellStart"/>
            <w:r>
              <w:t>Equalbase</w:t>
            </w:r>
            <w:proofErr w:type="spellEnd"/>
          </w:p>
        </w:tc>
        <w:tc>
          <w:tcPr>
            <w:tcW w:w="2976" w:type="dxa"/>
          </w:tcPr>
          <w:p w14:paraId="10762823" w14:textId="77777777" w:rsidR="00CA16E5" w:rsidRPr="00222EBD" w:rsidRDefault="00CA16E5" w:rsidP="006C1809">
            <w:pPr>
              <w:jc w:val="center"/>
            </w:pPr>
            <w:r>
              <w:t>Staffordshire Moorlands</w:t>
            </w:r>
          </w:p>
        </w:tc>
        <w:tc>
          <w:tcPr>
            <w:tcW w:w="4678" w:type="dxa"/>
          </w:tcPr>
          <w:p w14:paraId="1FEE8535" w14:textId="77777777" w:rsidR="00CA16E5" w:rsidRPr="00222EBD" w:rsidRDefault="00CA16E5" w:rsidP="006C1809">
            <w:pPr>
              <w:jc w:val="center"/>
            </w:pPr>
            <w:r>
              <w:t>Learning difficulties and Autism</w:t>
            </w:r>
          </w:p>
        </w:tc>
      </w:tr>
      <w:tr w:rsidR="00CA16E5" w:rsidRPr="00222EBD" w14:paraId="1FE57B9E" w14:textId="77777777" w:rsidTr="006C1809">
        <w:trPr>
          <w:jc w:val="center"/>
        </w:trPr>
        <w:tc>
          <w:tcPr>
            <w:tcW w:w="4390" w:type="dxa"/>
          </w:tcPr>
          <w:p w14:paraId="6A467846" w14:textId="77777777" w:rsidR="00CA16E5" w:rsidRPr="00222EBD" w:rsidRDefault="00CA16E5" w:rsidP="006C1809">
            <w:r w:rsidRPr="00222EBD">
              <w:t xml:space="preserve">Staffordshire </w:t>
            </w:r>
            <w:r>
              <w:t xml:space="preserve">Adults </w:t>
            </w:r>
            <w:r w:rsidRPr="00222EBD">
              <w:t>Autistic Society</w:t>
            </w:r>
          </w:p>
        </w:tc>
        <w:tc>
          <w:tcPr>
            <w:tcW w:w="2976" w:type="dxa"/>
          </w:tcPr>
          <w:p w14:paraId="2C80F45E" w14:textId="77777777" w:rsidR="00CA16E5" w:rsidRPr="00222EBD" w:rsidRDefault="00CA16E5" w:rsidP="006C1809">
            <w:pPr>
              <w:jc w:val="center"/>
            </w:pPr>
            <w:r w:rsidRPr="00222EBD">
              <w:t>Newcastle Under Lyme</w:t>
            </w:r>
          </w:p>
        </w:tc>
        <w:tc>
          <w:tcPr>
            <w:tcW w:w="4678" w:type="dxa"/>
          </w:tcPr>
          <w:p w14:paraId="6A2B72F1" w14:textId="77777777" w:rsidR="00CA16E5" w:rsidRPr="00222EBD" w:rsidRDefault="00CA16E5" w:rsidP="006C1809">
            <w:pPr>
              <w:jc w:val="center"/>
            </w:pPr>
            <w:r w:rsidRPr="00222EBD">
              <w:t>Autism</w:t>
            </w:r>
          </w:p>
        </w:tc>
      </w:tr>
      <w:tr w:rsidR="00CA16E5" w:rsidRPr="00222EBD" w14:paraId="432E807D" w14:textId="77777777" w:rsidTr="006C1809">
        <w:trPr>
          <w:jc w:val="center"/>
        </w:trPr>
        <w:tc>
          <w:tcPr>
            <w:tcW w:w="4390" w:type="dxa"/>
          </w:tcPr>
          <w:p w14:paraId="41C41DBC" w14:textId="77777777" w:rsidR="00CA16E5" w:rsidRPr="00222EBD" w:rsidRDefault="00CA16E5" w:rsidP="006C1809">
            <w:r w:rsidRPr="00222EBD">
              <w:t>Sight Loss Staffordshire</w:t>
            </w:r>
          </w:p>
        </w:tc>
        <w:tc>
          <w:tcPr>
            <w:tcW w:w="2976" w:type="dxa"/>
          </w:tcPr>
          <w:p w14:paraId="1BB59E20" w14:textId="77777777" w:rsidR="00CA16E5" w:rsidRPr="00222EBD" w:rsidRDefault="00CA16E5" w:rsidP="006C1809">
            <w:pPr>
              <w:jc w:val="center"/>
            </w:pPr>
            <w:r w:rsidRPr="00222EBD">
              <w:t>Moorlands</w:t>
            </w:r>
          </w:p>
        </w:tc>
        <w:tc>
          <w:tcPr>
            <w:tcW w:w="4678" w:type="dxa"/>
          </w:tcPr>
          <w:p w14:paraId="217FE986" w14:textId="77777777" w:rsidR="00CA16E5" w:rsidRPr="00222EBD" w:rsidRDefault="00CA16E5" w:rsidP="006C1809">
            <w:pPr>
              <w:jc w:val="center"/>
            </w:pPr>
            <w:r w:rsidRPr="00222EBD">
              <w:t>Physical disability</w:t>
            </w:r>
          </w:p>
        </w:tc>
      </w:tr>
      <w:tr w:rsidR="00CA16E5" w:rsidRPr="00222EBD" w14:paraId="4E3F918E" w14:textId="77777777" w:rsidTr="006C1809">
        <w:trPr>
          <w:jc w:val="center"/>
        </w:trPr>
        <w:tc>
          <w:tcPr>
            <w:tcW w:w="4390" w:type="dxa"/>
          </w:tcPr>
          <w:p w14:paraId="6A0407D6" w14:textId="77777777" w:rsidR="00CA16E5" w:rsidRPr="00222EBD" w:rsidRDefault="00CA16E5" w:rsidP="006C1809">
            <w:r w:rsidRPr="00222EBD">
              <w:t>Liberty Day Services</w:t>
            </w:r>
          </w:p>
        </w:tc>
        <w:tc>
          <w:tcPr>
            <w:tcW w:w="2976" w:type="dxa"/>
            <w:tcBorders>
              <w:top w:val="nil"/>
              <w:left w:val="nil"/>
              <w:bottom w:val="single" w:sz="8" w:space="0" w:color="auto"/>
              <w:right w:val="single" w:sz="8" w:space="0" w:color="auto"/>
            </w:tcBorders>
          </w:tcPr>
          <w:p w14:paraId="37AD8112" w14:textId="77777777" w:rsidR="00CA16E5" w:rsidRPr="00222EBD" w:rsidRDefault="00CA16E5" w:rsidP="006C1809">
            <w:pPr>
              <w:jc w:val="center"/>
            </w:pPr>
            <w:proofErr w:type="spellStart"/>
            <w:r w:rsidRPr="00222EBD">
              <w:t>Chasewater</w:t>
            </w:r>
            <w:proofErr w:type="spellEnd"/>
          </w:p>
        </w:tc>
        <w:tc>
          <w:tcPr>
            <w:tcW w:w="4678" w:type="dxa"/>
            <w:tcBorders>
              <w:top w:val="nil"/>
              <w:left w:val="nil"/>
              <w:bottom w:val="single" w:sz="8" w:space="0" w:color="auto"/>
              <w:right w:val="nil"/>
            </w:tcBorders>
          </w:tcPr>
          <w:p w14:paraId="163D71B3" w14:textId="77777777" w:rsidR="00CA16E5" w:rsidRPr="00222EBD" w:rsidRDefault="00CA16E5" w:rsidP="006C1809">
            <w:pPr>
              <w:jc w:val="center"/>
            </w:pPr>
            <w:r w:rsidRPr="00222EBD">
              <w:t>All</w:t>
            </w:r>
          </w:p>
        </w:tc>
      </w:tr>
      <w:tr w:rsidR="00CA16E5" w:rsidRPr="00222EBD" w14:paraId="32E1A24B" w14:textId="77777777" w:rsidTr="006C1809">
        <w:trPr>
          <w:jc w:val="center"/>
        </w:trPr>
        <w:tc>
          <w:tcPr>
            <w:tcW w:w="4390" w:type="dxa"/>
          </w:tcPr>
          <w:p w14:paraId="77BFD0E5" w14:textId="77777777" w:rsidR="00CA16E5" w:rsidRPr="00222EBD" w:rsidRDefault="00CA16E5" w:rsidP="006C1809">
            <w:r>
              <w:t>Lifeworks</w:t>
            </w:r>
          </w:p>
        </w:tc>
        <w:tc>
          <w:tcPr>
            <w:tcW w:w="2976" w:type="dxa"/>
            <w:tcBorders>
              <w:top w:val="nil"/>
              <w:left w:val="nil"/>
              <w:bottom w:val="single" w:sz="8" w:space="0" w:color="auto"/>
              <w:right w:val="single" w:sz="8" w:space="0" w:color="auto"/>
            </w:tcBorders>
          </w:tcPr>
          <w:p w14:paraId="14BDD901" w14:textId="77777777" w:rsidR="00CA16E5" w:rsidRPr="00222EBD" w:rsidRDefault="00CA16E5" w:rsidP="006C1809">
            <w:pPr>
              <w:jc w:val="center"/>
            </w:pPr>
            <w:r>
              <w:t>Newcastle</w:t>
            </w:r>
          </w:p>
        </w:tc>
        <w:tc>
          <w:tcPr>
            <w:tcW w:w="4678" w:type="dxa"/>
            <w:tcBorders>
              <w:top w:val="nil"/>
              <w:left w:val="nil"/>
              <w:bottom w:val="single" w:sz="8" w:space="0" w:color="auto"/>
              <w:right w:val="nil"/>
            </w:tcBorders>
          </w:tcPr>
          <w:p w14:paraId="523ABFEC" w14:textId="77777777" w:rsidR="00CA16E5" w:rsidRPr="00222EBD" w:rsidRDefault="00CA16E5" w:rsidP="006C1809">
            <w:pPr>
              <w:jc w:val="center"/>
            </w:pPr>
            <w:r>
              <w:t>Autism</w:t>
            </w:r>
          </w:p>
        </w:tc>
      </w:tr>
      <w:tr w:rsidR="00CA16E5" w:rsidRPr="00222EBD" w14:paraId="7E4B4CB6" w14:textId="77777777" w:rsidTr="006C1809">
        <w:trPr>
          <w:jc w:val="center"/>
        </w:trPr>
        <w:tc>
          <w:tcPr>
            <w:tcW w:w="4390" w:type="dxa"/>
          </w:tcPr>
          <w:p w14:paraId="151BDDC2" w14:textId="77777777" w:rsidR="00CA16E5" w:rsidRDefault="00CA16E5" w:rsidP="006C1809">
            <w:proofErr w:type="spellStart"/>
            <w:r>
              <w:t>Intertheatre</w:t>
            </w:r>
            <w:proofErr w:type="spellEnd"/>
          </w:p>
        </w:tc>
        <w:tc>
          <w:tcPr>
            <w:tcW w:w="2976" w:type="dxa"/>
            <w:tcBorders>
              <w:top w:val="nil"/>
              <w:left w:val="nil"/>
              <w:bottom w:val="single" w:sz="8" w:space="0" w:color="auto"/>
              <w:right w:val="single" w:sz="8" w:space="0" w:color="auto"/>
            </w:tcBorders>
          </w:tcPr>
          <w:p w14:paraId="69170C07" w14:textId="77777777" w:rsidR="00CA16E5" w:rsidRPr="00222EBD" w:rsidRDefault="00CA16E5" w:rsidP="006C1809">
            <w:pPr>
              <w:jc w:val="center"/>
            </w:pPr>
            <w:r>
              <w:t xml:space="preserve">Lichfield </w:t>
            </w:r>
          </w:p>
        </w:tc>
        <w:tc>
          <w:tcPr>
            <w:tcW w:w="4678" w:type="dxa"/>
            <w:tcBorders>
              <w:top w:val="nil"/>
              <w:left w:val="nil"/>
              <w:bottom w:val="single" w:sz="8" w:space="0" w:color="auto"/>
              <w:right w:val="nil"/>
            </w:tcBorders>
          </w:tcPr>
          <w:p w14:paraId="34355D5B" w14:textId="77777777" w:rsidR="00CA16E5" w:rsidRDefault="00CA16E5" w:rsidP="006C1809">
            <w:pPr>
              <w:jc w:val="center"/>
            </w:pPr>
            <w:r>
              <w:t>Learning disabilities and Autism</w:t>
            </w:r>
          </w:p>
        </w:tc>
      </w:tr>
      <w:tr w:rsidR="00CA16E5" w:rsidRPr="00222EBD" w14:paraId="0E1AE1F2" w14:textId="77777777" w:rsidTr="006C1809">
        <w:trPr>
          <w:jc w:val="center"/>
        </w:trPr>
        <w:tc>
          <w:tcPr>
            <w:tcW w:w="4390" w:type="dxa"/>
          </w:tcPr>
          <w:p w14:paraId="29CAEE76" w14:textId="77777777" w:rsidR="00CA16E5" w:rsidRDefault="00CA16E5" w:rsidP="006C1809">
            <w:r>
              <w:t>Take a Bow</w:t>
            </w:r>
          </w:p>
        </w:tc>
        <w:tc>
          <w:tcPr>
            <w:tcW w:w="2976" w:type="dxa"/>
            <w:tcBorders>
              <w:top w:val="nil"/>
              <w:left w:val="nil"/>
              <w:bottom w:val="single" w:sz="8" w:space="0" w:color="auto"/>
              <w:right w:val="single" w:sz="8" w:space="0" w:color="auto"/>
            </w:tcBorders>
          </w:tcPr>
          <w:p w14:paraId="692AE095" w14:textId="77777777" w:rsidR="00CA16E5" w:rsidRPr="00222EBD" w:rsidRDefault="00CA16E5" w:rsidP="006C1809">
            <w:pPr>
              <w:jc w:val="center"/>
            </w:pPr>
            <w:r>
              <w:t>Tamworth</w:t>
            </w:r>
          </w:p>
        </w:tc>
        <w:tc>
          <w:tcPr>
            <w:tcW w:w="4678" w:type="dxa"/>
            <w:tcBorders>
              <w:top w:val="nil"/>
              <w:left w:val="nil"/>
              <w:bottom w:val="single" w:sz="8" w:space="0" w:color="auto"/>
              <w:right w:val="nil"/>
            </w:tcBorders>
          </w:tcPr>
          <w:p w14:paraId="2CF6AB6B" w14:textId="77777777" w:rsidR="00CA16E5" w:rsidRDefault="00CA16E5" w:rsidP="006C1809">
            <w:pPr>
              <w:jc w:val="center"/>
            </w:pPr>
            <w:r>
              <w:t>Learning disabilities and Autism</w:t>
            </w:r>
          </w:p>
        </w:tc>
      </w:tr>
      <w:tr w:rsidR="00CA16E5" w:rsidRPr="00222EBD" w14:paraId="296C39D5" w14:textId="77777777" w:rsidTr="006C1809">
        <w:trPr>
          <w:jc w:val="center"/>
        </w:trPr>
        <w:tc>
          <w:tcPr>
            <w:tcW w:w="4390" w:type="dxa"/>
          </w:tcPr>
          <w:p w14:paraId="385AABA0" w14:textId="77777777" w:rsidR="00CA16E5" w:rsidRPr="00222EBD" w:rsidRDefault="00CA16E5" w:rsidP="006C1809">
            <w:proofErr w:type="spellStart"/>
            <w:r w:rsidRPr="00222EBD">
              <w:t>dDeaflinks</w:t>
            </w:r>
            <w:proofErr w:type="spellEnd"/>
          </w:p>
        </w:tc>
        <w:tc>
          <w:tcPr>
            <w:tcW w:w="2976" w:type="dxa"/>
            <w:tcBorders>
              <w:top w:val="nil"/>
              <w:left w:val="nil"/>
              <w:bottom w:val="single" w:sz="8" w:space="0" w:color="auto"/>
              <w:right w:val="single" w:sz="8" w:space="0" w:color="auto"/>
            </w:tcBorders>
          </w:tcPr>
          <w:p w14:paraId="0976E122" w14:textId="77777777" w:rsidR="00CA16E5" w:rsidRPr="00222EBD" w:rsidRDefault="00CA16E5" w:rsidP="006C1809">
            <w:pPr>
              <w:jc w:val="center"/>
            </w:pPr>
            <w:r w:rsidRPr="00222EBD">
              <w:t>North Staffs</w:t>
            </w:r>
          </w:p>
        </w:tc>
        <w:tc>
          <w:tcPr>
            <w:tcW w:w="4678" w:type="dxa"/>
            <w:tcBorders>
              <w:top w:val="nil"/>
              <w:left w:val="nil"/>
              <w:bottom w:val="single" w:sz="8" w:space="0" w:color="auto"/>
              <w:right w:val="nil"/>
            </w:tcBorders>
          </w:tcPr>
          <w:p w14:paraId="30A79E2F" w14:textId="77777777" w:rsidR="00CA16E5" w:rsidRPr="00222EBD" w:rsidRDefault="00CA16E5" w:rsidP="006C1809">
            <w:pPr>
              <w:jc w:val="center"/>
            </w:pPr>
            <w:r w:rsidRPr="00222EBD">
              <w:t>Physical disability</w:t>
            </w:r>
          </w:p>
        </w:tc>
      </w:tr>
      <w:tr w:rsidR="00CA16E5" w14:paraId="5EE1CD9B" w14:textId="77777777" w:rsidTr="006C1809">
        <w:trPr>
          <w:jc w:val="center"/>
        </w:trPr>
        <w:tc>
          <w:tcPr>
            <w:tcW w:w="4390" w:type="dxa"/>
          </w:tcPr>
          <w:p w14:paraId="37F3622B" w14:textId="77777777" w:rsidR="00CA16E5" w:rsidRPr="008E389D" w:rsidRDefault="00CA16E5" w:rsidP="006C1809">
            <w:proofErr w:type="spellStart"/>
            <w:r w:rsidRPr="008E389D">
              <w:t>Huntercombe</w:t>
            </w:r>
            <w:proofErr w:type="spellEnd"/>
            <w:r w:rsidRPr="008E389D">
              <w:t xml:space="preserve"> Hospital</w:t>
            </w:r>
          </w:p>
        </w:tc>
        <w:tc>
          <w:tcPr>
            <w:tcW w:w="2976" w:type="dxa"/>
            <w:tcBorders>
              <w:top w:val="nil"/>
              <w:left w:val="nil"/>
              <w:bottom w:val="nil"/>
              <w:right w:val="single" w:sz="8" w:space="0" w:color="auto"/>
            </w:tcBorders>
          </w:tcPr>
          <w:p w14:paraId="0F09D188" w14:textId="77777777" w:rsidR="00CA16E5" w:rsidRPr="008E389D" w:rsidRDefault="00CA16E5" w:rsidP="006C1809">
            <w:pPr>
              <w:jc w:val="center"/>
            </w:pPr>
            <w:r w:rsidRPr="008E389D">
              <w:t>Stafford</w:t>
            </w:r>
          </w:p>
        </w:tc>
        <w:tc>
          <w:tcPr>
            <w:tcW w:w="4678" w:type="dxa"/>
            <w:tcBorders>
              <w:top w:val="nil"/>
              <w:left w:val="nil"/>
              <w:bottom w:val="nil"/>
              <w:right w:val="nil"/>
            </w:tcBorders>
          </w:tcPr>
          <w:p w14:paraId="06B813F2" w14:textId="77777777" w:rsidR="00CA16E5" w:rsidRPr="008E389D" w:rsidRDefault="00CA16E5" w:rsidP="006C1809">
            <w:pPr>
              <w:jc w:val="center"/>
            </w:pPr>
            <w:proofErr w:type="spellStart"/>
            <w:r w:rsidRPr="008E389D">
              <w:t>CYPMHS</w:t>
            </w:r>
            <w:proofErr w:type="spellEnd"/>
          </w:p>
        </w:tc>
      </w:tr>
      <w:tr w:rsidR="00CA16E5" w14:paraId="08F8A7B0" w14:textId="77777777" w:rsidTr="006C1809">
        <w:trPr>
          <w:jc w:val="center"/>
        </w:trPr>
        <w:tc>
          <w:tcPr>
            <w:tcW w:w="4390" w:type="dxa"/>
          </w:tcPr>
          <w:p w14:paraId="179990F9" w14:textId="77777777" w:rsidR="00CA16E5" w:rsidRPr="008E389D" w:rsidRDefault="00CA16E5" w:rsidP="006C1809">
            <w:r>
              <w:rPr>
                <w:rFonts w:eastAsia="Times New Roman"/>
                <w:color w:val="000000"/>
                <w:sz w:val="24"/>
                <w:szCs w:val="24"/>
              </w:rPr>
              <w:lastRenderedPageBreak/>
              <w:t>Parent Carer Network.</w:t>
            </w:r>
          </w:p>
        </w:tc>
        <w:tc>
          <w:tcPr>
            <w:tcW w:w="2976" w:type="dxa"/>
            <w:tcBorders>
              <w:top w:val="nil"/>
              <w:left w:val="nil"/>
              <w:bottom w:val="nil"/>
              <w:right w:val="single" w:sz="8" w:space="0" w:color="auto"/>
            </w:tcBorders>
          </w:tcPr>
          <w:p w14:paraId="795B55E1" w14:textId="77777777" w:rsidR="00CA16E5" w:rsidRPr="008E389D" w:rsidRDefault="00CA16E5" w:rsidP="006C1809">
            <w:pPr>
              <w:jc w:val="center"/>
            </w:pPr>
            <w:r>
              <w:t>Leek</w:t>
            </w:r>
          </w:p>
        </w:tc>
        <w:tc>
          <w:tcPr>
            <w:tcW w:w="4678" w:type="dxa"/>
            <w:tcBorders>
              <w:top w:val="nil"/>
              <w:left w:val="nil"/>
              <w:bottom w:val="nil"/>
              <w:right w:val="nil"/>
            </w:tcBorders>
          </w:tcPr>
          <w:p w14:paraId="3FFA8622" w14:textId="77777777" w:rsidR="00CA16E5" w:rsidRPr="008E389D" w:rsidRDefault="00CA16E5" w:rsidP="006C1809">
            <w:pPr>
              <w:jc w:val="center"/>
            </w:pPr>
            <w:r>
              <w:t>All.</w:t>
            </w:r>
          </w:p>
        </w:tc>
      </w:tr>
    </w:tbl>
    <w:p w14:paraId="4645BC8A" w14:textId="77777777" w:rsidR="00CA16E5" w:rsidRDefault="00CA16E5" w:rsidP="00CA16E5">
      <w:pPr>
        <w:pStyle w:val="NoSpacing"/>
        <w:rPr>
          <w:rFonts w:ascii="Century Gothic" w:hAnsi="Century Gothic"/>
          <w:noProof/>
        </w:rPr>
      </w:pPr>
    </w:p>
    <w:p w14:paraId="7C5EDD69" w14:textId="064FFDFB" w:rsidR="00CA16E5" w:rsidRDefault="00CA16E5" w:rsidP="00CA16E5">
      <w:pPr>
        <w:pStyle w:val="NoSpacing"/>
        <w:jc w:val="center"/>
        <w:rPr>
          <w:rFonts w:ascii="Century Gothic" w:hAnsi="Century Gothic"/>
          <w:noProof/>
        </w:rPr>
      </w:pPr>
    </w:p>
    <w:p w14:paraId="5B6C6103" w14:textId="77777777" w:rsidR="00CA16E5" w:rsidRDefault="00CA16E5" w:rsidP="00CA16E5">
      <w:pPr>
        <w:pStyle w:val="NoSpacing"/>
        <w:rPr>
          <w:rFonts w:ascii="Century Gothic" w:hAnsi="Century Gothic"/>
          <w:noProof/>
        </w:rPr>
      </w:pPr>
    </w:p>
    <w:tbl>
      <w:tblPr>
        <w:tblW w:w="13740" w:type="dxa"/>
        <w:tblCellMar>
          <w:left w:w="0" w:type="dxa"/>
          <w:right w:w="0" w:type="dxa"/>
        </w:tblCellMar>
        <w:tblLook w:val="04A0" w:firstRow="1" w:lastRow="0" w:firstColumn="1" w:lastColumn="0" w:noHBand="0" w:noVBand="1"/>
      </w:tblPr>
      <w:tblGrid>
        <w:gridCol w:w="7366"/>
        <w:gridCol w:w="6374"/>
      </w:tblGrid>
      <w:tr w:rsidR="00CA16E5" w14:paraId="7DE39F05" w14:textId="77777777" w:rsidTr="006C1809">
        <w:tc>
          <w:tcPr>
            <w:tcW w:w="7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D28C79" w14:textId="77777777" w:rsidR="00CA16E5" w:rsidRPr="00656C07" w:rsidRDefault="00CA16E5" w:rsidP="006C1809">
            <w:pPr>
              <w:rPr>
                <w:b/>
                <w:bCs/>
              </w:rPr>
            </w:pPr>
            <w:r w:rsidRPr="00656C07">
              <w:rPr>
                <w:b/>
                <w:bCs/>
              </w:rPr>
              <w:t xml:space="preserve">User Sub-groups (to </w:t>
            </w:r>
            <w:proofErr w:type="spellStart"/>
            <w:r w:rsidRPr="00656C07">
              <w:rPr>
                <w:b/>
                <w:bCs/>
              </w:rPr>
              <w:t>DPB</w:t>
            </w:r>
            <w:proofErr w:type="spellEnd"/>
            <w:r w:rsidRPr="00656C07">
              <w:rPr>
                <w:b/>
                <w:bCs/>
              </w:rPr>
              <w:t>)</w:t>
            </w:r>
          </w:p>
        </w:tc>
        <w:tc>
          <w:tcPr>
            <w:tcW w:w="6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63FCBD" w14:textId="77777777" w:rsidR="00CA16E5" w:rsidRPr="000942AF" w:rsidRDefault="00CA16E5" w:rsidP="006C1809"/>
        </w:tc>
      </w:tr>
      <w:tr w:rsidR="00CA16E5" w14:paraId="49DC8D27"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88425" w14:textId="77777777" w:rsidR="00CA16E5" w:rsidRPr="00656C07" w:rsidRDefault="00CA16E5" w:rsidP="006C1809">
            <w:r w:rsidRPr="00656C07">
              <w:t>Category of need of attendees (as a % of those attending)</w:t>
            </w:r>
          </w:p>
        </w:tc>
        <w:tc>
          <w:tcPr>
            <w:tcW w:w="6374" w:type="dxa"/>
            <w:tcBorders>
              <w:top w:val="nil"/>
              <w:left w:val="nil"/>
              <w:bottom w:val="single" w:sz="8" w:space="0" w:color="auto"/>
              <w:right w:val="single" w:sz="8" w:space="0" w:color="auto"/>
            </w:tcBorders>
            <w:tcMar>
              <w:top w:w="0" w:type="dxa"/>
              <w:left w:w="108" w:type="dxa"/>
              <w:bottom w:w="0" w:type="dxa"/>
              <w:right w:w="108" w:type="dxa"/>
            </w:tcMar>
          </w:tcPr>
          <w:p w14:paraId="7ED246B2" w14:textId="77777777" w:rsidR="00CA16E5" w:rsidRPr="00372217" w:rsidRDefault="00CA16E5" w:rsidP="006C1809">
            <w:pPr>
              <w:pStyle w:val="NoSpacing"/>
              <w:rPr>
                <w:rFonts w:ascii="Century Gothic" w:hAnsi="Century Gothic"/>
              </w:rPr>
            </w:pPr>
            <w:r w:rsidRPr="00372217">
              <w:rPr>
                <w:rFonts w:ascii="Century Gothic" w:hAnsi="Century Gothic"/>
              </w:rPr>
              <w:t>Physical disabilities 21%</w:t>
            </w:r>
          </w:p>
          <w:p w14:paraId="63EF10E6" w14:textId="77777777" w:rsidR="00CA16E5" w:rsidRPr="00372217" w:rsidRDefault="00CA16E5" w:rsidP="006C1809">
            <w:pPr>
              <w:pStyle w:val="NoSpacing"/>
              <w:rPr>
                <w:rFonts w:ascii="Century Gothic" w:hAnsi="Century Gothic"/>
              </w:rPr>
            </w:pPr>
            <w:r w:rsidRPr="00372217">
              <w:rPr>
                <w:rFonts w:ascii="Century Gothic" w:hAnsi="Century Gothic"/>
              </w:rPr>
              <w:t>Autism 30%</w:t>
            </w:r>
          </w:p>
          <w:p w14:paraId="656839AB" w14:textId="77777777" w:rsidR="00CA16E5" w:rsidRPr="00372217" w:rsidRDefault="00CA16E5" w:rsidP="006C1809">
            <w:pPr>
              <w:pStyle w:val="NoSpacing"/>
              <w:rPr>
                <w:rFonts w:ascii="Century Gothic" w:hAnsi="Century Gothic"/>
              </w:rPr>
            </w:pPr>
            <w:r w:rsidRPr="00372217">
              <w:rPr>
                <w:rFonts w:ascii="Century Gothic" w:hAnsi="Century Gothic"/>
              </w:rPr>
              <w:t>Dementia 6%</w:t>
            </w:r>
          </w:p>
          <w:p w14:paraId="6A794776" w14:textId="77777777" w:rsidR="00CA16E5" w:rsidRPr="00372217" w:rsidRDefault="00CA16E5" w:rsidP="006C1809">
            <w:pPr>
              <w:pStyle w:val="NoSpacing"/>
              <w:rPr>
                <w:rFonts w:ascii="Century Gothic" w:hAnsi="Century Gothic"/>
              </w:rPr>
            </w:pPr>
            <w:r w:rsidRPr="00372217">
              <w:rPr>
                <w:rFonts w:ascii="Century Gothic" w:hAnsi="Century Gothic"/>
              </w:rPr>
              <w:t>Learning difficulties 9%</w:t>
            </w:r>
          </w:p>
          <w:p w14:paraId="49B75AC0" w14:textId="77777777" w:rsidR="00CA16E5" w:rsidRPr="00372217" w:rsidRDefault="00CA16E5" w:rsidP="006C1809">
            <w:pPr>
              <w:pStyle w:val="NoSpacing"/>
              <w:rPr>
                <w:rFonts w:ascii="Century Gothic" w:hAnsi="Century Gothic"/>
              </w:rPr>
            </w:pPr>
            <w:r w:rsidRPr="00372217">
              <w:rPr>
                <w:rFonts w:ascii="Century Gothic" w:hAnsi="Century Gothic"/>
              </w:rPr>
              <w:t>Visual impairments 18%</w:t>
            </w:r>
          </w:p>
          <w:p w14:paraId="1A214C46" w14:textId="77777777" w:rsidR="00CA16E5" w:rsidRPr="00372217" w:rsidRDefault="00CA16E5" w:rsidP="006C1809">
            <w:pPr>
              <w:pStyle w:val="NoSpacing"/>
              <w:rPr>
                <w:rFonts w:ascii="Century Gothic" w:hAnsi="Century Gothic"/>
              </w:rPr>
            </w:pPr>
            <w:r w:rsidRPr="00372217">
              <w:rPr>
                <w:rFonts w:ascii="Century Gothic" w:hAnsi="Century Gothic"/>
              </w:rPr>
              <w:t>Hearing impairments 10%</w:t>
            </w:r>
          </w:p>
          <w:p w14:paraId="0A77C8B7" w14:textId="77777777" w:rsidR="00CA16E5" w:rsidRPr="00372217" w:rsidRDefault="00CA16E5" w:rsidP="006C1809">
            <w:pPr>
              <w:pStyle w:val="NoSpacing"/>
              <w:rPr>
                <w:rFonts w:ascii="Century Gothic" w:hAnsi="Century Gothic"/>
              </w:rPr>
            </w:pPr>
            <w:r w:rsidRPr="00372217">
              <w:rPr>
                <w:rFonts w:ascii="Century Gothic" w:hAnsi="Century Gothic"/>
              </w:rPr>
              <w:t>Mental Health difficulties 6%</w:t>
            </w:r>
          </w:p>
          <w:p w14:paraId="305BB932" w14:textId="77777777" w:rsidR="00CA16E5" w:rsidRPr="00372217" w:rsidRDefault="00CA16E5" w:rsidP="006C1809">
            <w:pPr>
              <w:pStyle w:val="NoSpacing"/>
              <w:rPr>
                <w:rFonts w:ascii="Century Gothic" w:hAnsi="Century Gothic"/>
              </w:rPr>
            </w:pPr>
          </w:p>
        </w:tc>
      </w:tr>
      <w:tr w:rsidR="00CA16E5" w14:paraId="60106506"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FF0C7" w14:textId="77777777" w:rsidR="00CA16E5" w:rsidRPr="00656C07" w:rsidRDefault="00CA16E5" w:rsidP="006C1809">
            <w:r w:rsidRPr="00656C07">
              <w:t>Topics of interest discussed</w:t>
            </w:r>
          </w:p>
        </w:tc>
        <w:tc>
          <w:tcPr>
            <w:tcW w:w="6374" w:type="dxa"/>
            <w:tcBorders>
              <w:top w:val="nil"/>
              <w:left w:val="nil"/>
              <w:bottom w:val="single" w:sz="8" w:space="0" w:color="auto"/>
              <w:right w:val="single" w:sz="8" w:space="0" w:color="auto"/>
            </w:tcBorders>
            <w:tcMar>
              <w:top w:w="0" w:type="dxa"/>
              <w:left w:w="108" w:type="dxa"/>
              <w:bottom w:w="0" w:type="dxa"/>
              <w:right w:w="108" w:type="dxa"/>
            </w:tcMar>
          </w:tcPr>
          <w:p w14:paraId="3D64D371" w14:textId="77777777" w:rsidR="00CA16E5" w:rsidRPr="00656C07" w:rsidRDefault="00CA16E5" w:rsidP="006C1809">
            <w:r>
              <w:t>Public transport</w:t>
            </w:r>
          </w:p>
        </w:tc>
      </w:tr>
      <w:tr w:rsidR="00CA16E5" w14:paraId="189C1DA8"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08240" w14:textId="77777777" w:rsidR="00CA16E5" w:rsidRPr="00656C07" w:rsidRDefault="00CA16E5" w:rsidP="006C1809">
            <w:r w:rsidRPr="00656C07">
              <w:t>Mechanism of engagement</w:t>
            </w:r>
          </w:p>
        </w:tc>
        <w:tc>
          <w:tcPr>
            <w:tcW w:w="6374" w:type="dxa"/>
            <w:tcBorders>
              <w:top w:val="nil"/>
              <w:left w:val="nil"/>
              <w:bottom w:val="single" w:sz="8" w:space="0" w:color="auto"/>
              <w:right w:val="single" w:sz="8" w:space="0" w:color="auto"/>
            </w:tcBorders>
            <w:tcMar>
              <w:top w:w="0" w:type="dxa"/>
              <w:left w:w="108" w:type="dxa"/>
              <w:bottom w:w="0" w:type="dxa"/>
              <w:right w:w="108" w:type="dxa"/>
            </w:tcMar>
            <w:hideMark/>
          </w:tcPr>
          <w:p w14:paraId="5E91C0BE" w14:textId="77777777" w:rsidR="00CA16E5" w:rsidRPr="00656C07" w:rsidRDefault="00CA16E5" w:rsidP="006C1809">
            <w:r w:rsidRPr="00656C07">
              <w:t>Face-to-face</w:t>
            </w:r>
          </w:p>
        </w:tc>
      </w:tr>
      <w:tr w:rsidR="00CA16E5" w14:paraId="030A5F1E"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A6756" w14:textId="77777777" w:rsidR="00CA16E5" w:rsidRPr="00656C07" w:rsidRDefault="00CA16E5" w:rsidP="006C1809">
            <w:r w:rsidRPr="00656C07">
              <w:t>Feedback received from attendees</w:t>
            </w:r>
          </w:p>
        </w:tc>
        <w:tc>
          <w:tcPr>
            <w:tcW w:w="6374" w:type="dxa"/>
            <w:tcBorders>
              <w:top w:val="nil"/>
              <w:left w:val="nil"/>
              <w:bottom w:val="single" w:sz="8" w:space="0" w:color="auto"/>
              <w:right w:val="single" w:sz="8" w:space="0" w:color="auto"/>
            </w:tcBorders>
            <w:tcMar>
              <w:top w:w="0" w:type="dxa"/>
              <w:left w:w="108" w:type="dxa"/>
              <w:bottom w:w="0" w:type="dxa"/>
              <w:right w:w="108" w:type="dxa"/>
            </w:tcMar>
          </w:tcPr>
          <w:p w14:paraId="4DCB15A6" w14:textId="77777777" w:rsidR="00CA16E5" w:rsidRPr="00656C07" w:rsidRDefault="00CA16E5" w:rsidP="006C1809">
            <w:r w:rsidRPr="00656C07">
              <w:t>Information below</w:t>
            </w:r>
          </w:p>
        </w:tc>
      </w:tr>
      <w:tr w:rsidR="00CA16E5" w14:paraId="5CA458BB"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FC542" w14:textId="77777777" w:rsidR="00CA16E5" w:rsidRPr="00656C07" w:rsidRDefault="00CA16E5" w:rsidP="006C1809">
            <w:r w:rsidRPr="00656C07">
              <w:t>Identification of under-represented groups, barriers to their participation and suggestions to overcome these barriers</w:t>
            </w:r>
          </w:p>
        </w:tc>
        <w:tc>
          <w:tcPr>
            <w:tcW w:w="6374" w:type="dxa"/>
            <w:tcBorders>
              <w:top w:val="nil"/>
              <w:left w:val="nil"/>
              <w:bottom w:val="single" w:sz="8" w:space="0" w:color="auto"/>
              <w:right w:val="single" w:sz="8" w:space="0" w:color="auto"/>
            </w:tcBorders>
            <w:tcMar>
              <w:top w:w="0" w:type="dxa"/>
              <w:left w:w="108" w:type="dxa"/>
              <w:bottom w:w="0" w:type="dxa"/>
              <w:right w:w="108" w:type="dxa"/>
            </w:tcMar>
          </w:tcPr>
          <w:p w14:paraId="6C6F5A21" w14:textId="77777777" w:rsidR="00CA16E5" w:rsidRPr="00D15DFA" w:rsidRDefault="00CA16E5" w:rsidP="006C1809">
            <w:r w:rsidRPr="00D15DFA">
              <w:t>Children and Young People, Older adults.</w:t>
            </w:r>
          </w:p>
          <w:p w14:paraId="06E19D14" w14:textId="77777777" w:rsidR="00CA16E5" w:rsidRPr="00D15DFA" w:rsidRDefault="00CA16E5" w:rsidP="006C1809">
            <w:pPr>
              <w:rPr>
                <w:rFonts w:cs="Calibri"/>
              </w:rPr>
            </w:pPr>
            <w:r w:rsidRPr="00D15DFA">
              <w:rPr>
                <w:rFonts w:cs="Calibri"/>
              </w:rPr>
              <w:t>An article for inclusion in the e-school bag was compiled and published, inviting representatives of interested young people’s groups to make contact and request a visit.</w:t>
            </w:r>
          </w:p>
          <w:p w14:paraId="1853A9C3" w14:textId="77777777" w:rsidR="00CA16E5" w:rsidRPr="00D15DFA" w:rsidRDefault="00CA16E5" w:rsidP="006C1809">
            <w:pPr>
              <w:rPr>
                <w:rFonts w:ascii="Calibri" w:hAnsi="Calibri" w:cs="Calibri"/>
                <w:color w:val="242424"/>
                <w:sz w:val="24"/>
                <w:szCs w:val="24"/>
              </w:rPr>
            </w:pPr>
            <w:r w:rsidRPr="00D15DFA">
              <w:rPr>
                <w:rFonts w:cs="Calibri"/>
              </w:rPr>
              <w:t xml:space="preserve">Through contact with </w:t>
            </w:r>
            <w:proofErr w:type="spellStart"/>
            <w:r w:rsidRPr="00D15DFA">
              <w:rPr>
                <w:rFonts w:cs="Calibri"/>
              </w:rPr>
              <w:t>SENDIASS</w:t>
            </w:r>
            <w:proofErr w:type="spellEnd"/>
            <w:r w:rsidRPr="00D15DFA">
              <w:rPr>
                <w:rFonts w:cs="Calibri"/>
              </w:rPr>
              <w:t>, information about the SEND consultation was included in the August Blog on the Disability Partnership Board website and the Co-</w:t>
            </w:r>
            <w:r w:rsidRPr="00D15DFA">
              <w:rPr>
                <w:rFonts w:cs="Calibri"/>
              </w:rPr>
              <w:lastRenderedPageBreak/>
              <w:t xml:space="preserve">production team </w:t>
            </w:r>
            <w:r>
              <w:rPr>
                <w:rFonts w:cs="Calibri"/>
              </w:rPr>
              <w:t>will be</w:t>
            </w:r>
            <w:r w:rsidRPr="00D15DFA">
              <w:rPr>
                <w:rFonts w:cs="Calibri"/>
              </w:rPr>
              <w:t xml:space="preserve"> attending the SEND Marketplace event on 3</w:t>
            </w:r>
            <w:r w:rsidRPr="008365A1">
              <w:rPr>
                <w:rFonts w:cs="Calibri"/>
                <w:vertAlign w:val="superscript"/>
              </w:rPr>
              <w:t>rd</w:t>
            </w:r>
            <w:r>
              <w:rPr>
                <w:rFonts w:cs="Calibri"/>
              </w:rPr>
              <w:t xml:space="preserve"> </w:t>
            </w:r>
            <w:r w:rsidRPr="00D15DFA">
              <w:rPr>
                <w:rFonts w:cs="Calibri"/>
              </w:rPr>
              <w:t xml:space="preserve">October </w:t>
            </w:r>
            <w:r>
              <w:rPr>
                <w:rFonts w:cs="Calibri"/>
              </w:rPr>
              <w:t xml:space="preserve">in </w:t>
            </w:r>
            <w:r w:rsidRPr="00D15DFA">
              <w:rPr>
                <w:rFonts w:cs="Calibri"/>
              </w:rPr>
              <w:t>Stafford.</w:t>
            </w:r>
          </w:p>
        </w:tc>
      </w:tr>
      <w:tr w:rsidR="00CA16E5" w14:paraId="1D301E42"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CF54C" w14:textId="77777777" w:rsidR="00CA16E5" w:rsidRPr="00656C07" w:rsidRDefault="00CA16E5" w:rsidP="006C1809">
            <w:pPr>
              <w:rPr>
                <w:b/>
                <w:bCs/>
              </w:rPr>
            </w:pPr>
            <w:r w:rsidRPr="00656C07">
              <w:rPr>
                <w:b/>
                <w:bCs/>
              </w:rPr>
              <w:lastRenderedPageBreak/>
              <w:t>Involvement in Council Processes</w:t>
            </w:r>
          </w:p>
        </w:tc>
        <w:tc>
          <w:tcPr>
            <w:tcW w:w="6374" w:type="dxa"/>
            <w:tcBorders>
              <w:top w:val="nil"/>
              <w:left w:val="nil"/>
              <w:bottom w:val="single" w:sz="8" w:space="0" w:color="auto"/>
              <w:right w:val="single" w:sz="8" w:space="0" w:color="auto"/>
            </w:tcBorders>
            <w:tcMar>
              <w:top w:w="0" w:type="dxa"/>
              <w:left w:w="108" w:type="dxa"/>
              <w:bottom w:w="0" w:type="dxa"/>
              <w:right w:w="108" w:type="dxa"/>
            </w:tcMar>
          </w:tcPr>
          <w:p w14:paraId="488B25A6" w14:textId="77777777" w:rsidR="00CA16E5" w:rsidRPr="00656C07" w:rsidRDefault="00CA16E5" w:rsidP="006C1809">
            <w:pPr>
              <w:jc w:val="center"/>
            </w:pPr>
          </w:p>
        </w:tc>
      </w:tr>
      <w:tr w:rsidR="00CA16E5" w14:paraId="0A2FB979"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5925B" w14:textId="77777777" w:rsidR="00CA16E5" w:rsidRPr="00656C07" w:rsidRDefault="00CA16E5" w:rsidP="006C1809">
            <w:r w:rsidRPr="00656C07">
              <w:t>Number of Experts by Experience supported to be involved in the quarter</w:t>
            </w:r>
          </w:p>
        </w:tc>
        <w:tc>
          <w:tcPr>
            <w:tcW w:w="6374" w:type="dxa"/>
            <w:tcBorders>
              <w:top w:val="nil"/>
              <w:left w:val="nil"/>
              <w:bottom w:val="single" w:sz="8" w:space="0" w:color="auto"/>
              <w:right w:val="single" w:sz="8" w:space="0" w:color="auto"/>
            </w:tcBorders>
            <w:tcMar>
              <w:top w:w="0" w:type="dxa"/>
              <w:left w:w="108" w:type="dxa"/>
              <w:bottom w:w="0" w:type="dxa"/>
              <w:right w:w="108" w:type="dxa"/>
            </w:tcMar>
          </w:tcPr>
          <w:p w14:paraId="22CC98BC" w14:textId="77777777" w:rsidR="00CA16E5" w:rsidRDefault="00CA16E5" w:rsidP="006C1809">
            <w:pPr>
              <w:pStyle w:val="NoSpacing"/>
              <w:rPr>
                <w:rFonts w:ascii="Century Gothic" w:hAnsi="Century Gothic"/>
              </w:rPr>
            </w:pPr>
            <w:r w:rsidRPr="00AB2D17">
              <w:rPr>
                <w:rFonts w:ascii="Century Gothic" w:hAnsi="Century Gothic"/>
              </w:rPr>
              <w:t xml:space="preserve">Subgroup meetings were arranged </w:t>
            </w:r>
            <w:r>
              <w:rPr>
                <w:rFonts w:ascii="Century Gothic" w:hAnsi="Century Gothic"/>
              </w:rPr>
              <w:t>in early July (prior to the school holidays)</w:t>
            </w:r>
            <w:r w:rsidRPr="00AB2D17">
              <w:rPr>
                <w:rFonts w:ascii="Century Gothic" w:hAnsi="Century Gothic"/>
              </w:rPr>
              <w:t xml:space="preserve"> where 10 representatives of Cerebral Palsy Mid Staffordshire, Staffordshire Sight Loss, </w:t>
            </w:r>
            <w:proofErr w:type="spellStart"/>
            <w:r w:rsidRPr="00AB2D17">
              <w:rPr>
                <w:rFonts w:ascii="Century Gothic" w:hAnsi="Century Gothic"/>
              </w:rPr>
              <w:t>dDeaflinks</w:t>
            </w:r>
            <w:proofErr w:type="spellEnd"/>
            <w:r w:rsidRPr="00AB2D17">
              <w:rPr>
                <w:rFonts w:ascii="Century Gothic" w:hAnsi="Century Gothic"/>
              </w:rPr>
              <w:t xml:space="preserve"> Staffordshire, Disability Solutions and Staffordshire Adult Autistic Society discussed issues around the use of transport and accessibility including public toilet</w:t>
            </w:r>
            <w:r>
              <w:rPr>
                <w:rFonts w:ascii="Century Gothic" w:hAnsi="Century Gothic"/>
              </w:rPr>
              <w:t xml:space="preserve">s. </w:t>
            </w:r>
          </w:p>
          <w:p w14:paraId="1E0C1873" w14:textId="77777777" w:rsidR="00CA16E5" w:rsidRDefault="00CA16E5" w:rsidP="006C1809">
            <w:pPr>
              <w:pStyle w:val="NoSpacing"/>
              <w:rPr>
                <w:rFonts w:ascii="Century Gothic" w:hAnsi="Century Gothic"/>
              </w:rPr>
            </w:pPr>
          </w:p>
          <w:p w14:paraId="5112B770" w14:textId="77777777" w:rsidR="00CA16E5" w:rsidRDefault="00CA16E5" w:rsidP="006C1809">
            <w:pPr>
              <w:pStyle w:val="NoSpacing"/>
              <w:rPr>
                <w:rFonts w:ascii="Century Gothic" w:hAnsi="Century Gothic"/>
              </w:rPr>
            </w:pPr>
            <w:r w:rsidRPr="00AB2D17">
              <w:rPr>
                <w:rFonts w:ascii="Century Gothic" w:hAnsi="Century Gothic"/>
              </w:rPr>
              <w:t xml:space="preserve">3 experts by experience from these groups plus an expert by experience from the Dementia Voice group attended the Disability Partnership Board meeting on 10 July to present their views and findings. </w:t>
            </w:r>
          </w:p>
          <w:p w14:paraId="56141E5A" w14:textId="77777777" w:rsidR="00CA16E5" w:rsidRDefault="00CA16E5" w:rsidP="006C1809">
            <w:pPr>
              <w:pStyle w:val="NoSpacing"/>
              <w:rPr>
                <w:rFonts w:ascii="Century Gothic" w:hAnsi="Century Gothic"/>
              </w:rPr>
            </w:pPr>
          </w:p>
          <w:p w14:paraId="5CDD344A" w14:textId="77777777" w:rsidR="00CA16E5" w:rsidRPr="00AB2D17" w:rsidRDefault="00CA16E5" w:rsidP="006C1809">
            <w:pPr>
              <w:pStyle w:val="NoSpacing"/>
              <w:rPr>
                <w:rFonts w:ascii="Century Gothic" w:hAnsi="Century Gothic"/>
              </w:rPr>
            </w:pPr>
            <w:r w:rsidRPr="00AB2D17">
              <w:rPr>
                <w:rFonts w:ascii="Century Gothic" w:hAnsi="Century Gothic"/>
              </w:rPr>
              <w:t>The hope is that appropriate representatives will attend the November meeting of the Disability Partnership Board to address the issues raised at the July meeting and that the Terms of Reference for the Disability Partnership Board can be agreed and signed off.</w:t>
            </w:r>
          </w:p>
          <w:p w14:paraId="2D2BF3AB" w14:textId="77777777" w:rsidR="00CA16E5" w:rsidRPr="00AB2D17" w:rsidRDefault="00CA16E5" w:rsidP="006C1809">
            <w:pPr>
              <w:pStyle w:val="NoSpacing"/>
              <w:rPr>
                <w:rFonts w:ascii="Century Gothic" w:hAnsi="Century Gothic"/>
              </w:rPr>
            </w:pPr>
          </w:p>
        </w:tc>
      </w:tr>
      <w:tr w:rsidR="00CA16E5" w14:paraId="20CEDC21"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AFBF8" w14:textId="77777777" w:rsidR="00CA16E5" w:rsidRPr="00656C07" w:rsidRDefault="00CA16E5" w:rsidP="006C1809">
            <w:r w:rsidRPr="00656C07">
              <w:t>Number and type of services monitored</w:t>
            </w:r>
          </w:p>
        </w:tc>
        <w:tc>
          <w:tcPr>
            <w:tcW w:w="6374" w:type="dxa"/>
            <w:tcBorders>
              <w:top w:val="nil"/>
              <w:left w:val="nil"/>
              <w:bottom w:val="single" w:sz="8" w:space="0" w:color="auto"/>
              <w:right w:val="single" w:sz="8" w:space="0" w:color="auto"/>
            </w:tcBorders>
            <w:tcMar>
              <w:top w:w="0" w:type="dxa"/>
              <w:left w:w="108" w:type="dxa"/>
              <w:bottom w:w="0" w:type="dxa"/>
              <w:right w:w="108" w:type="dxa"/>
            </w:tcMar>
            <w:hideMark/>
          </w:tcPr>
          <w:p w14:paraId="48D14EF5" w14:textId="77777777" w:rsidR="00CA16E5" w:rsidRPr="00656C07" w:rsidRDefault="00CA16E5" w:rsidP="006C1809">
            <w:r w:rsidRPr="00656C07">
              <w:t>--</w:t>
            </w:r>
          </w:p>
        </w:tc>
      </w:tr>
      <w:tr w:rsidR="00CA16E5" w14:paraId="2AF7B0D3" w14:textId="77777777" w:rsidTr="006C1809">
        <w:tc>
          <w:tcPr>
            <w:tcW w:w="7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FB0A3" w14:textId="77777777" w:rsidR="00CA16E5" w:rsidRPr="00656C07" w:rsidRDefault="00CA16E5" w:rsidP="006C1809">
            <w:r w:rsidRPr="00656C07">
              <w:t>Number and type of engagement/ consultation opportunities supported</w:t>
            </w:r>
          </w:p>
        </w:tc>
        <w:tc>
          <w:tcPr>
            <w:tcW w:w="6374" w:type="dxa"/>
            <w:tcBorders>
              <w:top w:val="nil"/>
              <w:left w:val="nil"/>
              <w:bottom w:val="single" w:sz="8" w:space="0" w:color="auto"/>
              <w:right w:val="single" w:sz="8" w:space="0" w:color="auto"/>
            </w:tcBorders>
            <w:tcMar>
              <w:top w:w="0" w:type="dxa"/>
              <w:left w:w="108" w:type="dxa"/>
              <w:bottom w:w="0" w:type="dxa"/>
              <w:right w:w="108" w:type="dxa"/>
            </w:tcMar>
          </w:tcPr>
          <w:p w14:paraId="32881E1B" w14:textId="77777777" w:rsidR="00CA16E5" w:rsidRPr="00BA260B" w:rsidRDefault="00CA16E5" w:rsidP="006C1809">
            <w:pPr>
              <w:spacing w:after="160" w:line="259" w:lineRule="auto"/>
              <w:rPr>
                <w:rFonts w:eastAsiaTheme="minorHAnsi" w:cstheme="minorBidi"/>
                <w:sz w:val="24"/>
                <w:szCs w:val="24"/>
              </w:rPr>
            </w:pPr>
            <w:r w:rsidRPr="00BA260B">
              <w:rPr>
                <w:rFonts w:eastAsiaTheme="minorHAnsi" w:cstheme="minorBidi"/>
              </w:rPr>
              <w:t>Consultations on people's experiences in Supported Living continued with 4 visits to providers at Catherine Court, Godfrey Care and Lifeways. A short video with a service user discussing her life in Supported Living was produced which identified the benefits and some of the areas for improvement.</w:t>
            </w:r>
          </w:p>
        </w:tc>
      </w:tr>
    </w:tbl>
    <w:p w14:paraId="7B475F46" w14:textId="77777777" w:rsidR="00CA16E5" w:rsidRPr="00CA16E5" w:rsidRDefault="00CA16E5" w:rsidP="00CA16E5">
      <w:pPr>
        <w:pStyle w:val="Heading1"/>
        <w:rPr>
          <w:rFonts w:ascii="Century Gothic" w:hAnsi="Century Gothic"/>
          <w:b/>
          <w:bCs/>
          <w:color w:val="00B050"/>
          <w:sz w:val="24"/>
          <w:szCs w:val="24"/>
        </w:rPr>
      </w:pPr>
      <w:bookmarkStart w:id="2" w:name="_Toc147390504"/>
      <w:r w:rsidRPr="00CA16E5">
        <w:rPr>
          <w:rFonts w:ascii="Century Gothic" w:hAnsi="Century Gothic"/>
          <w:b/>
          <w:bCs/>
          <w:color w:val="00B050"/>
          <w:sz w:val="24"/>
          <w:szCs w:val="24"/>
        </w:rPr>
        <w:lastRenderedPageBreak/>
        <w:t>Disability Partnership Board meeting</w:t>
      </w:r>
      <w:bookmarkEnd w:id="2"/>
    </w:p>
    <w:p w14:paraId="7C1EEB59" w14:textId="77777777" w:rsidR="00CA16E5" w:rsidRDefault="00CA16E5" w:rsidP="00CA16E5">
      <w:r w:rsidRPr="0028288B">
        <w:t xml:space="preserve">Following the meeting of the Disability Partnership Board in July, it was agreed that the focus for the activity during July and through to September 2023 should be on further development of the Disability Partnership Board website through the inclusion of short videos of Collected stories and further group consultation on the topics of transport and accessibility. </w:t>
      </w:r>
    </w:p>
    <w:p w14:paraId="4937BD54" w14:textId="77777777" w:rsidR="00CA16E5" w:rsidRDefault="00CA16E5" w:rsidP="00CA16E5">
      <w:r w:rsidRPr="0028288B">
        <w:t>A paper outlining the issues raised during the consultations on transport was produced and forwarded to the Disability Partnership Board chairperson together with a proposed amendment to the Terms of Reference for consideration ahead of the November Disability Partnership Board meeting</w:t>
      </w:r>
      <w:r>
        <w:t>.</w:t>
      </w:r>
    </w:p>
    <w:p w14:paraId="7A670D10" w14:textId="77777777" w:rsidR="00CA16E5" w:rsidRPr="006042E6" w:rsidRDefault="00CA16E5" w:rsidP="00CA16E5">
      <w:pPr>
        <w:pStyle w:val="NoSpacing"/>
        <w:rPr>
          <w:rFonts w:ascii="Century Gothic" w:hAnsi="Century Gothic"/>
        </w:rPr>
      </w:pPr>
      <w:r>
        <w:rPr>
          <w:rFonts w:ascii="Century Gothic" w:hAnsi="Century Gothic"/>
        </w:rPr>
        <w:t xml:space="preserve">September saw the team engaging with the Support Staffordshire </w:t>
      </w:r>
      <w:r w:rsidRPr="007D3FA1">
        <w:rPr>
          <w:rFonts w:ascii="Century Gothic" w:hAnsi="Century Gothic"/>
        </w:rPr>
        <w:t>Locality Forum meetings</w:t>
      </w:r>
      <w:r>
        <w:rPr>
          <w:rFonts w:ascii="Century Gothic" w:hAnsi="Century Gothic"/>
        </w:rPr>
        <w:t>. These events are a good way to network with groups collectively across the county.</w:t>
      </w:r>
    </w:p>
    <w:p w14:paraId="5E6D1EF0" w14:textId="77777777" w:rsidR="00CA16E5" w:rsidRDefault="00CA16E5" w:rsidP="00CA16E5">
      <w:pPr>
        <w:pStyle w:val="NoSpacing"/>
        <w:rPr>
          <w:sz w:val="24"/>
          <w:szCs w:val="24"/>
        </w:rPr>
      </w:pPr>
    </w:p>
    <w:tbl>
      <w:tblPr>
        <w:tblStyle w:val="TableGrid"/>
        <w:tblW w:w="0" w:type="auto"/>
        <w:jc w:val="center"/>
        <w:tblLook w:val="04A0" w:firstRow="1" w:lastRow="0" w:firstColumn="1" w:lastColumn="0" w:noHBand="0" w:noVBand="1"/>
      </w:tblPr>
      <w:tblGrid>
        <w:gridCol w:w="2122"/>
        <w:gridCol w:w="2693"/>
      </w:tblGrid>
      <w:tr w:rsidR="00CA16E5" w14:paraId="08167A43" w14:textId="77777777" w:rsidTr="006C1809">
        <w:trPr>
          <w:jc w:val="center"/>
        </w:trPr>
        <w:tc>
          <w:tcPr>
            <w:tcW w:w="2122" w:type="dxa"/>
          </w:tcPr>
          <w:p w14:paraId="1B48CE68" w14:textId="77777777" w:rsidR="00CA16E5" w:rsidRPr="00EE63E4" w:rsidRDefault="00CA16E5" w:rsidP="006C1809">
            <w:pPr>
              <w:jc w:val="center"/>
            </w:pPr>
            <w:r>
              <w:t>20</w:t>
            </w:r>
            <w:r w:rsidRPr="00F5618E">
              <w:rPr>
                <w:vertAlign w:val="superscript"/>
              </w:rPr>
              <w:t>th</w:t>
            </w:r>
            <w:r>
              <w:t xml:space="preserve"> September </w:t>
            </w:r>
          </w:p>
        </w:tc>
        <w:tc>
          <w:tcPr>
            <w:tcW w:w="2693" w:type="dxa"/>
          </w:tcPr>
          <w:p w14:paraId="532330DD" w14:textId="77777777" w:rsidR="00CA16E5" w:rsidRPr="00EE63E4" w:rsidRDefault="00CA16E5" w:rsidP="006C1809">
            <w:r>
              <w:t>Lichfield</w:t>
            </w:r>
          </w:p>
        </w:tc>
      </w:tr>
      <w:tr w:rsidR="00CA16E5" w14:paraId="707A154B" w14:textId="77777777" w:rsidTr="006C1809">
        <w:trPr>
          <w:jc w:val="center"/>
        </w:trPr>
        <w:tc>
          <w:tcPr>
            <w:tcW w:w="2122" w:type="dxa"/>
          </w:tcPr>
          <w:p w14:paraId="615D0600" w14:textId="77777777" w:rsidR="00CA16E5" w:rsidRPr="00EE63E4" w:rsidRDefault="00CA16E5" w:rsidP="006C1809">
            <w:pPr>
              <w:jc w:val="center"/>
            </w:pPr>
            <w:r>
              <w:t>26</w:t>
            </w:r>
            <w:r w:rsidRPr="00F5618E">
              <w:rPr>
                <w:vertAlign w:val="superscript"/>
              </w:rPr>
              <w:t>th</w:t>
            </w:r>
            <w:r>
              <w:t xml:space="preserve"> September  </w:t>
            </w:r>
          </w:p>
        </w:tc>
        <w:tc>
          <w:tcPr>
            <w:tcW w:w="2693" w:type="dxa"/>
          </w:tcPr>
          <w:p w14:paraId="48BC078A" w14:textId="77777777" w:rsidR="00CA16E5" w:rsidRPr="00EE63E4" w:rsidRDefault="00CA16E5" w:rsidP="006C1809">
            <w:r>
              <w:t>Staffordshire Moorlands</w:t>
            </w:r>
          </w:p>
        </w:tc>
      </w:tr>
    </w:tbl>
    <w:p w14:paraId="168FC81F" w14:textId="77777777" w:rsidR="00CA16E5" w:rsidRPr="001B0A5D" w:rsidRDefault="00CA16E5" w:rsidP="00CA16E5"/>
    <w:p w14:paraId="1C0D8798" w14:textId="77777777" w:rsidR="00812C64" w:rsidRDefault="00812C64"/>
    <w:sectPr w:rsidR="00812C64" w:rsidSect="00C526E9">
      <w:footerReference w:type="default" r:id="rId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DCF2" w14:textId="77777777" w:rsidR="00CA16E5" w:rsidRDefault="00CA16E5" w:rsidP="00CA16E5">
      <w:pPr>
        <w:spacing w:after="0" w:line="240" w:lineRule="auto"/>
      </w:pPr>
      <w:r>
        <w:separator/>
      </w:r>
    </w:p>
  </w:endnote>
  <w:endnote w:type="continuationSeparator" w:id="0">
    <w:p w14:paraId="02FB3E2E" w14:textId="77777777" w:rsidR="00CA16E5" w:rsidRDefault="00CA16E5" w:rsidP="00CA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957165"/>
      <w:docPartObj>
        <w:docPartGallery w:val="Page Numbers (Bottom of Page)"/>
        <w:docPartUnique/>
      </w:docPartObj>
    </w:sdtPr>
    <w:sdtEndPr>
      <w:rPr>
        <w:noProof/>
      </w:rPr>
    </w:sdtEndPr>
    <w:sdtContent>
      <w:p w14:paraId="63616E73" w14:textId="77F60F40" w:rsidR="00CA16E5" w:rsidRDefault="00CA16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97549" w14:textId="77777777" w:rsidR="00CA16E5" w:rsidRDefault="00CA1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5C80" w14:textId="77777777" w:rsidR="00CA16E5" w:rsidRDefault="00CA16E5" w:rsidP="00CA16E5">
      <w:pPr>
        <w:spacing w:after="0" w:line="240" w:lineRule="auto"/>
      </w:pPr>
      <w:r>
        <w:separator/>
      </w:r>
    </w:p>
  </w:footnote>
  <w:footnote w:type="continuationSeparator" w:id="0">
    <w:p w14:paraId="2809379E" w14:textId="77777777" w:rsidR="00CA16E5" w:rsidRDefault="00CA16E5" w:rsidP="00CA1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E9"/>
    <w:rsid w:val="00812C64"/>
    <w:rsid w:val="00C526E9"/>
    <w:rsid w:val="00CA16E5"/>
    <w:rsid w:val="00DA5152"/>
    <w:rsid w:val="00FB3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FEBE"/>
  <w15:chartTrackingRefBased/>
  <w15:docId w15:val="{ABA8F16C-60CD-4147-B769-81D7BC9A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E5"/>
    <w:pPr>
      <w:spacing w:after="200" w:line="276" w:lineRule="auto"/>
    </w:pPr>
    <w:rPr>
      <w:rFonts w:ascii="Century Gothic" w:eastAsia="Calibri" w:hAnsi="Century Gothic" w:cs="Times New Roman"/>
      <w:kern w:val="0"/>
      <w14:ligatures w14:val="none"/>
    </w:rPr>
  </w:style>
  <w:style w:type="paragraph" w:styleId="Heading1">
    <w:name w:val="heading 1"/>
    <w:basedOn w:val="Normal"/>
    <w:next w:val="Normal"/>
    <w:link w:val="Heading1Char"/>
    <w:uiPriority w:val="9"/>
    <w:qFormat/>
    <w:rsid w:val="00C526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26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26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26E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26E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26E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26E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26E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26E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6E9"/>
    <w:rPr>
      <w:rFonts w:eastAsiaTheme="majorEastAsia" w:cstheme="majorBidi"/>
      <w:color w:val="272727" w:themeColor="text1" w:themeTint="D8"/>
    </w:rPr>
  </w:style>
  <w:style w:type="paragraph" w:styleId="Title">
    <w:name w:val="Title"/>
    <w:basedOn w:val="Normal"/>
    <w:next w:val="Normal"/>
    <w:link w:val="TitleChar"/>
    <w:uiPriority w:val="10"/>
    <w:qFormat/>
    <w:rsid w:val="00C526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2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6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2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6E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526E9"/>
    <w:rPr>
      <w:i/>
      <w:iCs/>
      <w:color w:val="404040" w:themeColor="text1" w:themeTint="BF"/>
    </w:rPr>
  </w:style>
  <w:style w:type="paragraph" w:styleId="ListParagraph">
    <w:name w:val="List Paragraph"/>
    <w:basedOn w:val="Normal"/>
    <w:uiPriority w:val="34"/>
    <w:qFormat/>
    <w:rsid w:val="00C526E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526E9"/>
    <w:rPr>
      <w:i/>
      <w:iCs/>
      <w:color w:val="0F4761" w:themeColor="accent1" w:themeShade="BF"/>
    </w:rPr>
  </w:style>
  <w:style w:type="paragraph" w:styleId="IntenseQuote">
    <w:name w:val="Intense Quote"/>
    <w:basedOn w:val="Normal"/>
    <w:next w:val="Normal"/>
    <w:link w:val="IntenseQuoteChar"/>
    <w:uiPriority w:val="30"/>
    <w:qFormat/>
    <w:rsid w:val="00C526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26E9"/>
    <w:rPr>
      <w:i/>
      <w:iCs/>
      <w:color w:val="0F4761" w:themeColor="accent1" w:themeShade="BF"/>
    </w:rPr>
  </w:style>
  <w:style w:type="character" w:styleId="IntenseReference">
    <w:name w:val="Intense Reference"/>
    <w:basedOn w:val="DefaultParagraphFont"/>
    <w:uiPriority w:val="32"/>
    <w:qFormat/>
    <w:rsid w:val="00C526E9"/>
    <w:rPr>
      <w:b/>
      <w:bCs/>
      <w:smallCaps/>
      <w:color w:val="0F4761" w:themeColor="accent1" w:themeShade="BF"/>
      <w:spacing w:val="5"/>
    </w:rPr>
  </w:style>
  <w:style w:type="table" w:styleId="TableGrid">
    <w:name w:val="Table Grid"/>
    <w:basedOn w:val="TableNormal"/>
    <w:uiPriority w:val="39"/>
    <w:rsid w:val="00CA16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16E5"/>
    <w:pPr>
      <w:spacing w:after="0" w:line="240" w:lineRule="auto"/>
    </w:pPr>
    <w:rPr>
      <w:kern w:val="0"/>
      <w14:ligatures w14:val="none"/>
    </w:rPr>
  </w:style>
  <w:style w:type="paragraph" w:styleId="Header">
    <w:name w:val="header"/>
    <w:basedOn w:val="Normal"/>
    <w:link w:val="HeaderChar"/>
    <w:uiPriority w:val="99"/>
    <w:unhideWhenUsed/>
    <w:rsid w:val="00CA1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6E5"/>
    <w:rPr>
      <w:rFonts w:ascii="Century Gothic" w:eastAsia="Calibri" w:hAnsi="Century Gothic" w:cs="Times New Roman"/>
      <w:kern w:val="0"/>
      <w14:ligatures w14:val="none"/>
    </w:rPr>
  </w:style>
  <w:style w:type="paragraph" w:styleId="Footer">
    <w:name w:val="footer"/>
    <w:basedOn w:val="Normal"/>
    <w:link w:val="FooterChar"/>
    <w:uiPriority w:val="99"/>
    <w:unhideWhenUsed/>
    <w:rsid w:val="00CA1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6E5"/>
    <w:rPr>
      <w:rFonts w:ascii="Century Gothic" w:eastAsia="Calibri" w:hAnsi="Century Gothic"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Plant</dc:creator>
  <cp:keywords/>
  <dc:description/>
  <cp:lastModifiedBy>Ruth Plant</cp:lastModifiedBy>
  <cp:revision>2</cp:revision>
  <dcterms:created xsi:type="dcterms:W3CDTF">2025-04-11T11:02:00Z</dcterms:created>
  <dcterms:modified xsi:type="dcterms:W3CDTF">2025-04-11T11:05:00Z</dcterms:modified>
</cp:coreProperties>
</file>